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before="100" w:beforeAutospacing="1" w:after="100" w:afterAutospacing="1" w:line="240" w:lineRule="auto"/>
        <w:shd w:val="clear" w:color="auto" w:fill="ffffff"/>
        <w:rPr>
          <w:rFonts w:ascii="Calibri" w:hAnsi="Calibri" w:eastAsia="Times New Roman" w:cs="Calibri"/>
          <w:b/>
          <w:bCs/>
          <w:color w:val="000000"/>
          <w:lang w:eastAsia="ru-RU"/>
          <w14:ligatures w14:val="none"/>
        </w:rPr>
      </w:pPr>
      <w:r>
        <w:rPr>
          <w:rFonts w:ascii="Calibri" w:hAnsi="Calibri" w:eastAsia="Times New Roman" w:cs="Calibri"/>
          <w:b/>
          <w:bCs/>
          <w:color w:val="000000"/>
          <w:lang w:eastAsia="ru-RU"/>
          <w14:ligatures w14:val="none"/>
        </w:rPr>
        <w:t xml:space="preserve">Конфигурирование</w:t>
      </w:r>
      <w:r>
        <w:rPr>
          <w:rFonts w:ascii="Calibri" w:hAnsi="Calibri" w:eastAsia="Times New Roman" w:cs="Calibri"/>
          <w:b/>
          <w:bCs/>
          <w:color w:val="000000"/>
          <w:lang w:eastAsia="ru-RU"/>
          <w14:ligatures w14:val="none"/>
        </w:rPr>
        <w:t xml:space="preserve"> </w:t>
      </w:r>
      <w:r>
        <w:rPr>
          <w:rFonts w:ascii="Calibri" w:hAnsi="Calibri" w:eastAsia="Times New Roman" w:cs="Calibri"/>
          <w:b/>
          <w:bCs/>
          <w:color w:val="000000"/>
          <w:lang w:eastAsia="ru-RU"/>
          <w14:ligatures w14:val="none"/>
        </w:rPr>
        <w:t xml:space="preserve">программного комплекса в 1С:ERP для торговых операций</w:t>
      </w:r>
      <w:r>
        <w:rPr>
          <w:rFonts w:ascii="Calibri" w:hAnsi="Calibri" w:eastAsia="Times New Roman" w:cs="Calibri"/>
          <w:b/>
          <w:bCs/>
          <w:color w:val="000000"/>
          <w:lang w:eastAsia="ru-RU"/>
          <w14:ligatures w14:val="none"/>
        </w:rPr>
      </w:r>
    </w:p>
    <w:p>
      <w:pPr>
        <w:jc w:val="both"/>
        <w:spacing w:before="100" w:beforeAutospacing="1" w:after="100" w:afterAutospacing="1" w:line="240" w:lineRule="auto"/>
        <w:shd w:val="clear" w:color="auto" w:fill="ffffff"/>
      </w:pPr>
      <w:r>
        <w:t xml:space="preserve">Компания</w:t>
      </w:r>
      <w:r>
        <w:t xml:space="preserve"> </w:t>
      </w:r>
      <w:r>
        <w:t xml:space="preserve">«</w:t>
      </w:r>
      <w:r>
        <w:t xml:space="preserve">Учебное предприятие</w:t>
      </w:r>
      <w:r>
        <w:t xml:space="preserve">» занимается </w:t>
      </w:r>
      <w:r>
        <w:t xml:space="preserve">торговой</w:t>
      </w:r>
      <w:r>
        <w:t xml:space="preserve"> деятельностью. Состоит из одного юридического лица, работающего по основной системе налогообложения, НДС входит в стоимость.</w:t>
      </w:r>
      <w:r/>
    </w:p>
    <w:p>
      <w:pPr>
        <w:jc w:val="both"/>
        <w:spacing w:before="100" w:beforeAutospacing="1" w:after="100" w:afterAutospacing="1" w:line="240" w:lineRule="auto"/>
        <w:shd w:val="clear" w:color="auto" w:fill="ffffff"/>
      </w:pPr>
      <w:r>
        <w:t xml:space="preserve">Организационная структура предприятия состоит из следующих подразделений</w:t>
      </w:r>
      <w:r>
        <w:t xml:space="preserve">:</w:t>
      </w:r>
      <w:r/>
    </w:p>
    <w:p>
      <w:pPr>
        <w:pStyle w:val="654"/>
        <w:numPr>
          <w:ilvl w:val="0"/>
          <w:numId w:val="2"/>
        </w:numPr>
        <w:jc w:val="both"/>
        <w:spacing w:before="100" w:beforeAutospacing="1" w:after="100" w:afterAutospacing="1" w:line="240" w:lineRule="auto"/>
        <w:shd w:val="clear" w:color="auto" w:fill="ffffff"/>
        <w:rPr>
          <w:lang w:val="en-US"/>
        </w:rPr>
      </w:pPr>
      <w:r>
        <w:t xml:space="preserve">Администрация</w:t>
      </w:r>
      <w:r>
        <w:rPr>
          <w:lang w:val="en-US"/>
        </w:rPr>
      </w:r>
    </w:p>
    <w:p>
      <w:pPr>
        <w:pStyle w:val="654"/>
        <w:numPr>
          <w:ilvl w:val="0"/>
          <w:numId w:val="2"/>
        </w:numPr>
        <w:jc w:val="both"/>
        <w:spacing w:before="100" w:beforeAutospacing="1" w:after="100" w:afterAutospacing="1" w:line="240" w:lineRule="auto"/>
        <w:shd w:val="clear" w:color="auto" w:fill="ffffff"/>
        <w:rPr>
          <w:lang w:val="en-US"/>
        </w:rPr>
      </w:pPr>
      <w:r>
        <w:t xml:space="preserve">Отдел закупок</w:t>
      </w:r>
      <w:r>
        <w:rPr>
          <w:lang w:val="en-US"/>
        </w:rPr>
      </w:r>
    </w:p>
    <w:p>
      <w:pPr>
        <w:pStyle w:val="654"/>
        <w:numPr>
          <w:ilvl w:val="0"/>
          <w:numId w:val="2"/>
        </w:numPr>
        <w:jc w:val="both"/>
        <w:spacing w:before="100" w:beforeAutospacing="1" w:after="100" w:afterAutospacing="1" w:line="240" w:lineRule="auto"/>
        <w:shd w:val="clear" w:color="auto" w:fill="ffffff"/>
        <w:rPr>
          <w:lang w:val="en-US"/>
        </w:rPr>
      </w:pPr>
      <w:r>
        <w:t xml:space="preserve">Отдел продаж</w:t>
      </w:r>
      <w:r>
        <w:rPr>
          <w:lang w:val="en-US"/>
        </w:rPr>
      </w:r>
    </w:p>
    <w:p>
      <w:pPr>
        <w:jc w:val="both"/>
        <w:spacing w:before="100" w:beforeAutospacing="1" w:after="100" w:afterAutospacing="1" w:line="240" w:lineRule="auto"/>
        <w:shd w:val="clear" w:color="auto" w:fill="ffffff"/>
      </w:pPr>
      <w:r>
        <w:t xml:space="preserve">В компании существуют следующие склады</w:t>
      </w:r>
      <w:r>
        <w:t xml:space="preserve">:</w:t>
      </w:r>
      <w:r/>
    </w:p>
    <w:p>
      <w:pPr>
        <w:pStyle w:val="654"/>
        <w:numPr>
          <w:ilvl w:val="0"/>
          <w:numId w:val="3"/>
        </w:numPr>
        <w:jc w:val="both"/>
        <w:spacing w:before="100" w:beforeAutospacing="1" w:after="100" w:afterAutospacing="1" w:line="240" w:lineRule="auto"/>
        <w:shd w:val="clear" w:color="auto" w:fill="ffffff"/>
        <w:rPr>
          <w:lang w:val="en-US"/>
        </w:rPr>
      </w:pPr>
      <w:r>
        <w:rPr>
          <w:lang w:val="en-US"/>
        </w:rPr>
        <w:t xml:space="preserve">Основной склад</w:t>
      </w:r>
      <w:r>
        <w:rPr>
          <w:lang w:val="en-US"/>
        </w:rPr>
      </w:r>
    </w:p>
    <w:p>
      <w:pPr>
        <w:jc w:val="both"/>
        <w:spacing w:before="100" w:beforeAutospacing="1" w:after="100" w:afterAutospacing="1" w:line="240" w:lineRule="auto"/>
        <w:shd w:val="clear" w:color="auto" w:fill="ffffff"/>
      </w:pPr>
      <w:r>
        <w:t xml:space="preserve">Номенклатура, с которой работает компания представлена следующими позициями</w:t>
      </w:r>
      <w:r>
        <w:t xml:space="preserve">:</w:t>
      </w:r>
      <w:r/>
    </w:p>
    <w:p>
      <w:pPr>
        <w:pStyle w:val="654"/>
        <w:numPr>
          <w:ilvl w:val="0"/>
          <w:numId w:val="3"/>
        </w:numPr>
        <w:jc w:val="both"/>
        <w:spacing w:before="100" w:beforeAutospacing="1" w:after="100" w:afterAutospacing="1" w:line="240" w:lineRule="auto"/>
        <w:shd w:val="clear" w:color="auto" w:fill="ffffff"/>
      </w:pPr>
      <w:r>
        <w:t xml:space="preserve">Товар для продажи</w:t>
      </w:r>
      <w:r>
        <w:t xml:space="preserve">, шт</w:t>
      </w:r>
      <w:r>
        <w:t xml:space="preserve"> </w:t>
      </w:r>
      <w:r/>
    </w:p>
    <w:p>
      <w:pPr>
        <w:pStyle w:val="654"/>
        <w:numPr>
          <w:ilvl w:val="0"/>
          <w:numId w:val="3"/>
        </w:numPr>
        <w:jc w:val="both"/>
        <w:spacing w:before="100" w:beforeAutospacing="1" w:after="100" w:afterAutospacing="1" w:line="240" w:lineRule="auto"/>
        <w:shd w:val="clear" w:color="auto" w:fill="ffffff"/>
      </w:pPr>
      <w:r>
        <w:t xml:space="preserve">Услуги доставки а/м </w:t>
      </w:r>
      <w:r>
        <w:t xml:space="preserve">Камаз</w:t>
      </w:r>
      <w:r/>
    </w:p>
    <w:p>
      <w:pPr>
        <w:jc w:val="both"/>
        <w:spacing w:before="100" w:beforeAutospacing="1" w:after="100" w:afterAutospacing="1" w:line="240" w:lineRule="auto"/>
        <w:shd w:val="clear" w:color="auto" w:fill="ffffff"/>
      </w:pPr>
      <w:r>
        <w:t xml:space="preserve">Закупка</w:t>
      </w:r>
      <w:r>
        <w:t xml:space="preserve"> </w:t>
      </w:r>
      <w:r>
        <w:t xml:space="preserve">и продажа товарно-материальных ценностей происходит на склад «Основной».</w:t>
      </w:r>
      <w:r/>
    </w:p>
    <w:p>
      <w:r>
        <w:rPr>
          <w:b/>
          <w:bCs/>
        </w:rPr>
        <w:t xml:space="preserve">Требуется</w:t>
      </w:r>
      <w:r>
        <w:rPr>
          <w:lang w:val="en-US"/>
        </w:rPr>
        <w:t xml:space="preserve">:</w:t>
      </w:r>
      <w:r/>
    </w:p>
    <w:p>
      <w:pPr>
        <w:pStyle w:val="654"/>
        <w:numPr>
          <w:ilvl w:val="0"/>
          <w:numId w:val="4"/>
        </w:numPr>
        <w:spacing w:after="200" w:line="276" w:lineRule="auto"/>
      </w:pPr>
      <w:r>
        <w:t xml:space="preserve">Закупить следующую номенклатуру на склад «Основной»</w:t>
      </w:r>
      <w:r>
        <w:t xml:space="preserve">.</w:t>
      </w:r>
      <w:r/>
    </w:p>
    <w:tbl>
      <w:tblPr>
        <w:tblStyle w:val="659"/>
        <w:tblW w:w="0" w:type="auto"/>
        <w:tblLook w:val="04A0" w:firstRow="1" w:lastRow="0" w:firstColumn="1" w:lastColumn="0" w:noHBand="0" w:noVBand="1"/>
      </w:tblPr>
      <w:tblGrid>
        <w:gridCol w:w="2554"/>
        <w:gridCol w:w="2439"/>
        <w:gridCol w:w="2409"/>
        <w:gridCol w:w="1943"/>
      </w:tblGrid>
      <w:tr>
        <w:tblPrEx/>
        <w:trPr/>
        <w:tc>
          <w:tcPr>
            <w:tcW w:w="2554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Номенклатура</w:t>
            </w:r>
            <w:r>
              <w:rPr>
                <w:b/>
                <w:bCs/>
              </w:rPr>
            </w:r>
          </w:p>
        </w:tc>
        <w:tc>
          <w:tcPr>
            <w:tcW w:w="243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Количество</w:t>
            </w:r>
            <w:r>
              <w:rPr>
                <w:b/>
                <w:bCs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Единица измерения</w:t>
            </w:r>
            <w:r>
              <w:rPr>
                <w:b/>
                <w:bCs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Сумма</w:t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2554" w:type="dxa"/>
            <w:textDirection w:val="lrTb"/>
            <w:noWrap w:val="false"/>
          </w:tcPr>
          <w:p>
            <w:r>
              <w:t xml:space="preserve">Товар для продажи</w:t>
            </w:r>
            <w:r/>
          </w:p>
        </w:tc>
        <w:tc>
          <w:tcPr>
            <w:tcW w:w="2439" w:type="dxa"/>
            <w:textDirection w:val="lrTb"/>
            <w:noWrap w:val="false"/>
          </w:tcPr>
          <w:p>
            <w:r>
              <w:t xml:space="preserve">200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r>
              <w:t xml:space="preserve">шт.</w:t>
            </w:r>
            <w:r/>
          </w:p>
        </w:tc>
        <w:tc>
          <w:tcPr>
            <w:tcW w:w="1943" w:type="dxa"/>
            <w:textDirection w:val="lrTb"/>
            <w:noWrap w:val="false"/>
          </w:tcPr>
          <w:p>
            <w:r>
              <w:t xml:space="preserve">150</w:t>
            </w:r>
            <w:r>
              <w:t xml:space="preserve">000 руб.</w:t>
            </w:r>
            <w:r/>
          </w:p>
        </w:tc>
      </w:tr>
    </w:tbl>
    <w:p>
      <w:r/>
      <w:r/>
    </w:p>
    <w:p>
      <w:pPr>
        <w:pStyle w:val="654"/>
        <w:numPr>
          <w:ilvl w:val="0"/>
          <w:numId w:val="4"/>
        </w:numPr>
        <w:spacing w:after="200" w:line="276" w:lineRule="auto"/>
      </w:pPr>
      <w:r>
        <w:t xml:space="preserve">Продать следующую номенклатуру со склада «Основной»</w:t>
      </w:r>
      <w:r/>
    </w:p>
    <w:tbl>
      <w:tblPr>
        <w:tblStyle w:val="659"/>
        <w:tblW w:w="0" w:type="auto"/>
        <w:tblLook w:val="04A0" w:firstRow="1" w:lastRow="0" w:firstColumn="1" w:lastColumn="0" w:noHBand="0" w:noVBand="1"/>
      </w:tblPr>
      <w:tblGrid>
        <w:gridCol w:w="2554"/>
        <w:gridCol w:w="2439"/>
        <w:gridCol w:w="2409"/>
        <w:gridCol w:w="1943"/>
      </w:tblGrid>
      <w:tr>
        <w:tblPrEx/>
        <w:trPr/>
        <w:tc>
          <w:tcPr>
            <w:tcW w:w="2554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Номенклатура</w:t>
            </w:r>
            <w:r>
              <w:rPr>
                <w:b/>
                <w:bCs/>
              </w:rPr>
            </w:r>
          </w:p>
        </w:tc>
        <w:tc>
          <w:tcPr>
            <w:tcW w:w="243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Количество</w:t>
            </w:r>
            <w:r>
              <w:rPr>
                <w:b/>
                <w:bCs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Единица измерения</w:t>
            </w:r>
            <w:r>
              <w:rPr>
                <w:b/>
                <w:bCs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Сумма</w:t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2554" w:type="dxa"/>
            <w:textDirection w:val="lrTb"/>
            <w:noWrap w:val="false"/>
          </w:tcPr>
          <w:p>
            <w:r>
              <w:t xml:space="preserve">Товар для продажи</w:t>
            </w:r>
            <w:r/>
          </w:p>
        </w:tc>
        <w:tc>
          <w:tcPr>
            <w:tcW w:w="2439" w:type="dxa"/>
            <w:textDirection w:val="lrTb"/>
            <w:noWrap w:val="false"/>
          </w:tcPr>
          <w:p>
            <w:r>
              <w:t xml:space="preserve">2</w:t>
            </w:r>
            <w:r>
              <w:t xml:space="preserve">00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r>
              <w:t xml:space="preserve">шт.</w:t>
            </w:r>
            <w:r/>
          </w:p>
        </w:tc>
        <w:tc>
          <w:tcPr>
            <w:tcW w:w="1943" w:type="dxa"/>
            <w:textDirection w:val="lrTb"/>
            <w:noWrap w:val="false"/>
          </w:tcPr>
          <w:p>
            <w:r>
              <w:t xml:space="preserve">2</w:t>
            </w:r>
            <w:r>
              <w:t xml:space="preserve">00000 руб.</w:t>
            </w:r>
            <w:r/>
          </w:p>
        </w:tc>
      </w:tr>
    </w:tbl>
    <w:p>
      <w:r/>
      <w:r/>
    </w:p>
    <w:p>
      <w:pPr>
        <w:pStyle w:val="654"/>
        <w:numPr>
          <w:ilvl w:val="0"/>
          <w:numId w:val="4"/>
        </w:numPr>
        <w:spacing w:after="200" w:line="276" w:lineRule="auto"/>
      </w:pPr>
      <w:r>
        <w:t xml:space="preserve">Отразить услуги</w:t>
      </w:r>
      <w:r>
        <w:rPr>
          <w:lang w:val="en-US"/>
        </w:rPr>
        <w:t xml:space="preserve">:</w:t>
      </w:r>
      <w:r/>
    </w:p>
    <w:tbl>
      <w:tblPr>
        <w:tblStyle w:val="659"/>
        <w:tblW w:w="0" w:type="auto"/>
        <w:tblLayout w:type="fixed"/>
        <w:tblLook w:val="04A0" w:firstRow="1" w:lastRow="0" w:firstColumn="1" w:lastColumn="0" w:noHBand="0" w:noVBand="1"/>
      </w:tblPr>
      <w:tblGrid>
        <w:gridCol w:w="1603"/>
        <w:gridCol w:w="1086"/>
        <w:gridCol w:w="992"/>
        <w:gridCol w:w="2306"/>
        <w:gridCol w:w="1785"/>
        <w:gridCol w:w="1573"/>
      </w:tblGrid>
      <w:tr>
        <w:tblPrEx/>
        <w:trPr/>
        <w:tc>
          <w:tcPr>
            <w:tcW w:w="1603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Услуга</w:t>
            </w:r>
            <w:r>
              <w:rPr>
                <w:b/>
                <w:bCs/>
              </w:rPr>
            </w:r>
          </w:p>
        </w:tc>
        <w:tc>
          <w:tcPr>
            <w:tcW w:w="108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Количество</w:t>
            </w:r>
            <w:r>
              <w:rPr>
                <w:b/>
                <w:bCs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Сумма</w:t>
            </w:r>
            <w:r>
              <w:rPr>
                <w:b/>
                <w:bCs/>
              </w:rPr>
            </w:r>
          </w:p>
        </w:tc>
        <w:tc>
          <w:tcPr>
            <w:tcW w:w="230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Расходы возникают</w:t>
            </w:r>
            <w:r>
              <w:rPr>
                <w:b/>
                <w:bCs/>
              </w:rPr>
            </w:r>
          </w:p>
        </w:tc>
        <w:tc>
          <w:tcPr>
            <w:tcW w:w="1785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Относятся на</w:t>
            </w:r>
            <w:r>
              <w:rPr>
                <w:b/>
                <w:bCs/>
              </w:rPr>
            </w:r>
          </w:p>
        </w:tc>
        <w:tc>
          <w:tcPr>
            <w:tcW w:w="1573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аналитики расходов</w:t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603" w:type="dxa"/>
            <w:textDirection w:val="lrTb"/>
            <w:noWrap w:val="false"/>
          </w:tcPr>
          <w:p>
            <w:r>
              <w:t xml:space="preserve">Услуги доставки а/м </w:t>
            </w:r>
            <w:r>
              <w:t xml:space="preserve">Камаз</w:t>
            </w:r>
            <w:r/>
          </w:p>
        </w:tc>
        <w:tc>
          <w:tcPr>
            <w:tcW w:w="1086" w:type="dxa"/>
            <w:textDirection w:val="lrTb"/>
            <w:noWrap w:val="false"/>
          </w:tcPr>
          <w:p>
            <w:r>
              <w:t xml:space="preserve">1</w:t>
            </w:r>
            <w:r>
              <w:t xml:space="preserve"> шт.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r>
              <w:t xml:space="preserve">5</w:t>
            </w:r>
            <w:r>
              <w:t xml:space="preserve">000 руб.</w:t>
            </w:r>
            <w:r/>
          </w:p>
        </w:tc>
        <w:tc>
          <w:tcPr>
            <w:tcW w:w="2306" w:type="dxa"/>
            <w:textDirection w:val="lrTb"/>
            <w:noWrap w:val="false"/>
          </w:tcPr>
          <w:p>
            <w:r>
              <w:t xml:space="preserve">При приобретении</w:t>
            </w:r>
            <w:r/>
          </w:p>
        </w:tc>
        <w:tc>
          <w:tcPr>
            <w:tcW w:w="1785" w:type="dxa"/>
            <w:textDirection w:val="lrTb"/>
            <w:noWrap w:val="false"/>
          </w:tcPr>
          <w:p>
            <w:r>
              <w:t xml:space="preserve">Себестоимость товаров</w:t>
            </w:r>
            <w:r/>
          </w:p>
        </w:tc>
        <w:tc>
          <w:tcPr>
            <w:tcW w:w="1573" w:type="dxa"/>
            <w:textDirection w:val="lrTb"/>
            <w:noWrap w:val="false"/>
          </w:tcPr>
          <w:p>
            <w:r>
              <w:t xml:space="preserve">Приобретение товаров и услуг</w:t>
            </w:r>
            <w:r/>
          </w:p>
        </w:tc>
      </w:tr>
    </w:tbl>
    <w:p>
      <w:r/>
      <w:r/>
    </w:p>
    <w:p>
      <w:pPr>
        <w:pStyle w:val="654"/>
        <w:numPr>
          <w:ilvl w:val="0"/>
          <w:numId w:val="4"/>
        </w:numPr>
        <w:spacing w:after="200" w:line="276" w:lineRule="auto"/>
      </w:pPr>
      <w:r>
        <w:t xml:space="preserve">Выполнить взаиморасчеты с контрагентами, рассчитаться с поставщиками в полном размере и получить оплату от клиента в размере </w:t>
      </w:r>
      <w:r>
        <w:t xml:space="preserve">6</w:t>
      </w:r>
      <w:r>
        <w:t xml:space="preserve">0% оплаты.</w:t>
      </w:r>
      <w:r/>
    </w:p>
    <w:p>
      <w:pPr>
        <w:pStyle w:val="654"/>
        <w:numPr>
          <w:ilvl w:val="0"/>
          <w:numId w:val="4"/>
        </w:numPr>
        <w:spacing w:after="200" w:line="276" w:lineRule="auto"/>
      </w:pPr>
      <w:r>
        <w:t xml:space="preserve">Сформировать отчет по анализу движения денежных средств.</w:t>
      </w:r>
      <w:r/>
    </w:p>
    <w:p>
      <w:pPr>
        <w:pStyle w:val="654"/>
        <w:numPr>
          <w:ilvl w:val="0"/>
          <w:numId w:val="4"/>
        </w:numPr>
        <w:spacing w:after="200" w:line="276" w:lineRule="auto"/>
      </w:pPr>
      <w:r>
        <w:t xml:space="preserve">Выполнить расчет себестоимости</w:t>
      </w:r>
      <w:r>
        <w:t xml:space="preserve"> и процедуру закрытия месяца.</w:t>
      </w:r>
      <w:r/>
    </w:p>
    <w:p>
      <w:pPr>
        <w:pStyle w:val="654"/>
        <w:numPr>
          <w:ilvl w:val="0"/>
          <w:numId w:val="4"/>
        </w:numPr>
        <w:spacing w:after="200" w:line="276" w:lineRule="auto"/>
      </w:pPr>
      <w:r>
        <w:t xml:space="preserve">Сформировать отчет по движению товарно-материальных ценностей.</w:t>
      </w:r>
      <w:r/>
    </w:p>
    <w:p>
      <w:pPr>
        <w:pStyle w:val="654"/>
        <w:numPr>
          <w:ilvl w:val="0"/>
          <w:numId w:val="4"/>
        </w:numPr>
        <w:spacing w:after="200" w:line="276" w:lineRule="auto"/>
      </w:pPr>
      <w:r>
        <w:t xml:space="preserve">Сформировать отчет по валовой прибыли организации.</w:t>
      </w:r>
      <w:r/>
    </w:p>
    <w:p>
      <w:pPr>
        <w:pStyle w:val="654"/>
        <w:numPr>
          <w:ilvl w:val="0"/>
          <w:numId w:val="4"/>
        </w:numPr>
        <w:spacing w:after="200" w:line="276" w:lineRule="auto"/>
      </w:pPr>
      <w:r>
        <w:t xml:space="preserve">Сформировать отчет по доходам, расходам организации.</w:t>
      </w:r>
      <w:r/>
    </w:p>
    <w:p>
      <w:pPr>
        <w:pStyle w:val="654"/>
        <w:numPr>
          <w:ilvl w:val="0"/>
          <w:numId w:val="4"/>
        </w:numPr>
        <w:spacing w:after="200" w:line="276" w:lineRule="auto"/>
      </w:pPr>
      <w:r>
        <w:t xml:space="preserve">Сформировать оборотно-сальдовую ведомость по счетам.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Symbol">
    <w:panose1 w:val="05010000000000000000"/>
  </w:font>
  <w:font w:name="Wingdings">
    <w:panose1 w:val="05010000000000000000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36"/>
    <w:link w:val="627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36"/>
    <w:link w:val="628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36"/>
    <w:link w:val="629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36"/>
    <w:link w:val="63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36"/>
    <w:link w:val="63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36"/>
    <w:link w:val="63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636"/>
    <w:link w:val="63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636"/>
    <w:link w:val="63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636"/>
    <w:link w:val="63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636"/>
    <w:link w:val="648"/>
    <w:uiPriority w:val="10"/>
    <w:rPr>
      <w:sz w:val="48"/>
      <w:szCs w:val="48"/>
    </w:rPr>
  </w:style>
  <w:style w:type="character" w:styleId="38">
    <w:name w:val="Subtitle Char"/>
    <w:basedOn w:val="636"/>
    <w:link w:val="650"/>
    <w:uiPriority w:val="11"/>
    <w:rPr>
      <w:sz w:val="24"/>
      <w:szCs w:val="24"/>
    </w:rPr>
  </w:style>
  <w:style w:type="character" w:styleId="40">
    <w:name w:val="Quote Char"/>
    <w:link w:val="652"/>
    <w:uiPriority w:val="29"/>
    <w:rPr>
      <w:i/>
    </w:rPr>
  </w:style>
  <w:style w:type="character" w:styleId="42">
    <w:name w:val="Intense Quote Char"/>
    <w:link w:val="656"/>
    <w:uiPriority w:val="30"/>
    <w:rPr>
      <w:i/>
    </w:rPr>
  </w:style>
  <w:style w:type="paragraph" w:styleId="43">
    <w:name w:val="Header"/>
    <w:basedOn w:val="626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36"/>
    <w:link w:val="43"/>
    <w:uiPriority w:val="99"/>
  </w:style>
  <w:style w:type="paragraph" w:styleId="45">
    <w:name w:val="Footer"/>
    <w:basedOn w:val="626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36"/>
    <w:link w:val="45"/>
    <w:uiPriority w:val="99"/>
  </w:style>
  <w:style w:type="paragraph" w:styleId="47">
    <w:name w:val="Caption"/>
    <w:basedOn w:val="626"/>
    <w:next w:val="626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36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Liberation Sans" w:hAnsi="Liberation Sans"/>
        <w:color w:val="1b7ca4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1b7ca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1b7ca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Liberation Sans" w:hAnsi="Liberation Sans"/>
        <w:color w:val="c34f16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Liberation Sans" w:hAnsi="Liberation Sans"/>
        <w:color w:val="0e3f14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0e3f14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e3f14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Liberation Sans" w:hAnsi="Liberation Sans"/>
        <w:color w:val="0d8ab8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Liberation Sans" w:hAnsi="Liberation Sans"/>
        <w:color w:val="5c1955" w:themeColor="accent5" w:themeShade="95"/>
        <w:sz w:val="22"/>
      </w:rPr>
    </w:tblStylePr>
    <w:tblStylePr w:type="firstCol">
      <w:rPr>
        <w:rFonts w:ascii="Liberation Sans" w:hAnsi="Liberation Sans"/>
        <w:i/>
        <w:color w:val="5c1955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1955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Liberation Sans" w:hAnsi="Liberation Sans"/>
        <w:color w:val="2e611a" w:themeColor="accent6" w:themeShade="95"/>
        <w:sz w:val="22"/>
      </w:rPr>
    </w:tblStylePr>
    <w:tblStylePr w:type="firstCol">
      <w:rPr>
        <w:rFonts w:ascii="Liberation Sans" w:hAnsi="Liberation Sans"/>
        <w:i/>
        <w:color w:val="2e611a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611a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Liberation Sans" w:hAnsi="Liberation Sans"/>
        <w:color w:val="0c394b" w:themeColor="accent1" w:themeShade="95"/>
        <w:sz w:val="22"/>
      </w:rPr>
    </w:tblStylePr>
    <w:tblStylePr w:type="firstCol">
      <w:rPr>
        <w:rFonts w:ascii="Liberation Sans" w:hAnsi="Liberation Sans"/>
        <w:i/>
        <w:color w:val="0c394b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c394b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0c394b" w:themeColor="accent1" w:themeShade="95"/>
        <w:sz w:val="22"/>
      </w:rPr>
    </w:tblStylePr>
  </w:style>
  <w:style w:type="table" w:styleId="149">
    <w:name w:val="List Table 7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Liberation Sans" w:hAnsi="Liberation Sans"/>
        <w:color w:val="c34f16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34f16" w:themeColor="accent2" w:themeTint="97" w:themeShade="95"/>
        <w:sz w:val="22"/>
      </w:rPr>
    </w:tblStylePr>
  </w:style>
  <w:style w:type="table" w:styleId="150">
    <w:name w:val="List Table 7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Liberation Sans" w:hAnsi="Liberation Sans"/>
        <w:color w:val="1f842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1f842b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1f842b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1f842b" w:themeColor="accent3" w:themeTint="98" w:themeShade="95"/>
        <w:sz w:val="22"/>
      </w:rPr>
    </w:tblStylePr>
  </w:style>
  <w:style w:type="table" w:styleId="151">
    <w:name w:val="List Table 7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Liberation Sans" w:hAnsi="Liberation Sans"/>
        <w:color w:val="0d8ab8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0d8ab8" w:themeColor="accent4" w:themeTint="9A" w:themeShade="95"/>
        <w:sz w:val="22"/>
      </w:rPr>
    </w:tblStylePr>
  </w:style>
  <w:style w:type="table" w:styleId="152">
    <w:name w:val="List Table 7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Liberation Sans" w:hAnsi="Liberation Sans"/>
        <w:color w:val="932888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32888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32888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32888" w:themeColor="accent5" w:themeTint="9A" w:themeShade="95"/>
        <w:sz w:val="22"/>
      </w:rPr>
    </w:tblStylePr>
  </w:style>
  <w:style w:type="table" w:styleId="153">
    <w:name w:val="List Table 7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Liberation Sans" w:hAnsi="Liberation Sans"/>
        <w:color w:val="4b952a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4b952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b952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b952a" w:themeColor="accent6" w:themeTint="98" w:themeShade="95"/>
        <w:sz w:val="22"/>
      </w:rPr>
    </w:tblStylePr>
  </w:style>
  <w:style w:type="table" w:styleId="154">
    <w:name w:val="Lined - Accent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56">
    <w:name w:val="Lined - Accent 2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57">
    <w:name w:val="Lined - Accent 3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58">
    <w:name w:val="Lined - Accent 4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59">
    <w:name w:val="Lined - Accent 5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0">
    <w:name w:val="Lined - Accent 6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1">
    <w:name w:val="Bordered &amp; Lined - Accent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63">
    <w:name w:val="Bordered &amp; Lined - Accent 2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64">
    <w:name w:val="Bordered &amp; Lined - Accent 3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65">
    <w:name w:val="Bordered &amp; Lined - Accent 4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66">
    <w:name w:val="Bordered &amp; Lined - Accent 5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7">
    <w:name w:val="Bordered &amp; Lined - Accent 6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8">
    <w:name w:val="Bordered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6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36"/>
    <w:uiPriority w:val="99"/>
    <w:unhideWhenUsed/>
    <w:rPr>
      <w:vertAlign w:val="superscript"/>
    </w:rPr>
  </w:style>
  <w:style w:type="paragraph" w:styleId="179">
    <w:name w:val="endnote text"/>
    <w:basedOn w:val="626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36"/>
    <w:uiPriority w:val="99"/>
    <w:semiHidden/>
    <w:unhideWhenUsed/>
    <w:rPr>
      <w:vertAlign w:val="superscript"/>
    </w:rPr>
  </w:style>
  <w:style w:type="paragraph" w:styleId="182">
    <w:name w:val="toc 1"/>
    <w:basedOn w:val="626"/>
    <w:next w:val="626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6"/>
    <w:next w:val="626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6"/>
    <w:next w:val="626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6"/>
    <w:next w:val="626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6"/>
    <w:next w:val="626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6"/>
    <w:next w:val="626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6"/>
    <w:next w:val="626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6"/>
    <w:next w:val="626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6"/>
    <w:next w:val="626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6"/>
    <w:next w:val="626"/>
    <w:uiPriority w:val="99"/>
    <w:unhideWhenUsed/>
    <w:pPr>
      <w:spacing w:after="0" w:afterAutospacing="0"/>
    </w:pPr>
  </w:style>
  <w:style w:type="paragraph" w:styleId="626" w:default="1">
    <w:name w:val="Normal"/>
    <w:qFormat/>
  </w:style>
  <w:style w:type="paragraph" w:styleId="627">
    <w:name w:val="Heading 1"/>
    <w:basedOn w:val="626"/>
    <w:next w:val="626"/>
    <w:link w:val="639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628">
    <w:name w:val="Heading 2"/>
    <w:basedOn w:val="626"/>
    <w:next w:val="626"/>
    <w:link w:val="640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629">
    <w:name w:val="Heading 3"/>
    <w:basedOn w:val="626"/>
    <w:next w:val="626"/>
    <w:link w:val="641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30">
    <w:name w:val="Heading 4"/>
    <w:basedOn w:val="626"/>
    <w:next w:val="626"/>
    <w:link w:val="642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631">
    <w:name w:val="Heading 5"/>
    <w:basedOn w:val="626"/>
    <w:next w:val="626"/>
    <w:link w:val="643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32">
    <w:name w:val="Heading 6"/>
    <w:basedOn w:val="626"/>
    <w:next w:val="626"/>
    <w:link w:val="644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33">
    <w:name w:val="Heading 7"/>
    <w:basedOn w:val="626"/>
    <w:next w:val="626"/>
    <w:link w:val="645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34">
    <w:name w:val="Heading 8"/>
    <w:basedOn w:val="626"/>
    <w:next w:val="626"/>
    <w:link w:val="646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35">
    <w:name w:val="Heading 9"/>
    <w:basedOn w:val="626"/>
    <w:next w:val="626"/>
    <w:link w:val="647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36" w:default="1">
    <w:name w:val="Default Paragraph Font"/>
    <w:uiPriority w:val="1"/>
    <w:semiHidden/>
    <w:unhideWhenUsed/>
  </w:style>
  <w:style w:type="table" w:styleId="6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8" w:default="1">
    <w:name w:val="No List"/>
    <w:uiPriority w:val="99"/>
    <w:semiHidden/>
    <w:unhideWhenUsed/>
  </w:style>
  <w:style w:type="character" w:styleId="639" w:customStyle="1">
    <w:name w:val="Заголовок 1 Знак"/>
    <w:basedOn w:val="636"/>
    <w:link w:val="627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640" w:customStyle="1">
    <w:name w:val="Заголовок 2 Знак"/>
    <w:basedOn w:val="636"/>
    <w:link w:val="628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641" w:customStyle="1">
    <w:name w:val="Заголовок 3 Знак"/>
    <w:basedOn w:val="636"/>
    <w:link w:val="629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642" w:customStyle="1">
    <w:name w:val="Заголовок 4 Знак"/>
    <w:basedOn w:val="636"/>
    <w:link w:val="630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643" w:customStyle="1">
    <w:name w:val="Заголовок 5 Знак"/>
    <w:basedOn w:val="636"/>
    <w:link w:val="631"/>
    <w:uiPriority w:val="9"/>
    <w:semiHidden/>
    <w:rPr>
      <w:rFonts w:eastAsiaTheme="majorEastAsia" w:cstheme="majorBidi"/>
      <w:color w:val="0f4761" w:themeColor="accent1" w:themeShade="BF"/>
    </w:rPr>
  </w:style>
  <w:style w:type="character" w:styleId="644" w:customStyle="1">
    <w:name w:val="Заголовок 6 Знак"/>
    <w:basedOn w:val="636"/>
    <w:link w:val="632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45" w:customStyle="1">
    <w:name w:val="Заголовок 7 Знак"/>
    <w:basedOn w:val="636"/>
    <w:link w:val="633"/>
    <w:uiPriority w:val="9"/>
    <w:semiHidden/>
    <w:rPr>
      <w:rFonts w:eastAsiaTheme="majorEastAsia" w:cstheme="majorBidi"/>
      <w:color w:val="595959" w:themeColor="text1" w:themeTint="A6"/>
    </w:rPr>
  </w:style>
  <w:style w:type="character" w:styleId="646" w:customStyle="1">
    <w:name w:val="Заголовок 8 Знак"/>
    <w:basedOn w:val="636"/>
    <w:link w:val="634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47" w:customStyle="1">
    <w:name w:val="Заголовок 9 Знак"/>
    <w:basedOn w:val="636"/>
    <w:link w:val="635"/>
    <w:uiPriority w:val="9"/>
    <w:semiHidden/>
    <w:rPr>
      <w:rFonts w:eastAsiaTheme="majorEastAsia" w:cstheme="majorBidi"/>
      <w:color w:val="272727" w:themeColor="text1" w:themeTint="D8"/>
    </w:rPr>
  </w:style>
  <w:style w:type="paragraph" w:styleId="648">
    <w:name w:val="Title"/>
    <w:basedOn w:val="626"/>
    <w:next w:val="626"/>
    <w:link w:val="649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49" w:customStyle="1">
    <w:name w:val="Заголовок Знак"/>
    <w:basedOn w:val="636"/>
    <w:link w:val="648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50">
    <w:name w:val="Subtitle"/>
    <w:basedOn w:val="626"/>
    <w:next w:val="626"/>
    <w:link w:val="651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51" w:customStyle="1">
    <w:name w:val="Подзаголовок Знак"/>
    <w:basedOn w:val="636"/>
    <w:link w:val="650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52">
    <w:name w:val="Quote"/>
    <w:basedOn w:val="626"/>
    <w:next w:val="626"/>
    <w:link w:val="653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53" w:customStyle="1">
    <w:name w:val="Цитата 2 Знак"/>
    <w:basedOn w:val="636"/>
    <w:link w:val="652"/>
    <w:uiPriority w:val="29"/>
    <w:rPr>
      <w:i/>
      <w:iCs/>
      <w:color w:val="404040" w:themeColor="text1" w:themeTint="BF"/>
    </w:rPr>
  </w:style>
  <w:style w:type="paragraph" w:styleId="654">
    <w:name w:val="List Paragraph"/>
    <w:basedOn w:val="626"/>
    <w:uiPriority w:val="34"/>
    <w:qFormat/>
    <w:pPr>
      <w:contextualSpacing/>
      <w:ind w:left="720"/>
    </w:pPr>
  </w:style>
  <w:style w:type="character" w:styleId="655">
    <w:name w:val="Intense Emphasis"/>
    <w:basedOn w:val="636"/>
    <w:uiPriority w:val="21"/>
    <w:qFormat/>
    <w:rPr>
      <w:i/>
      <w:iCs/>
      <w:color w:val="0f4761" w:themeColor="accent1" w:themeShade="BF"/>
    </w:rPr>
  </w:style>
  <w:style w:type="paragraph" w:styleId="656">
    <w:name w:val="Intense Quote"/>
    <w:basedOn w:val="626"/>
    <w:next w:val="626"/>
    <w:link w:val="657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657" w:customStyle="1">
    <w:name w:val="Выделенная цитата Знак"/>
    <w:basedOn w:val="636"/>
    <w:link w:val="656"/>
    <w:uiPriority w:val="30"/>
    <w:rPr>
      <w:i/>
      <w:iCs/>
      <w:color w:val="0f4761" w:themeColor="accent1" w:themeShade="BF"/>
    </w:rPr>
  </w:style>
  <w:style w:type="character" w:styleId="658">
    <w:name w:val="Intense Reference"/>
    <w:basedOn w:val="636"/>
    <w:uiPriority w:val="32"/>
    <w:qFormat/>
    <w:rPr>
      <w:b/>
      <w:bCs/>
      <w:smallCaps/>
      <w:color w:val="0f4761" w:themeColor="accent1" w:themeShade="BF"/>
      <w:spacing w:val="5"/>
    </w:rPr>
  </w:style>
  <w:style w:type="table" w:styleId="659">
    <w:name w:val="Table Grid"/>
    <w:basedOn w:val="63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Liberation Sans"/>
        <a:cs typeface="Liberation Sans"/>
      </a:majorFont>
      <a:minorFont>
        <a:latin typeface="Aptos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Лекомцев Андрей Валентинович</dc:creator>
  <cp:keywords/>
  <dc:description/>
  <cp:lastModifiedBy>Иванов Владислав</cp:lastModifiedBy>
  <cp:revision>27</cp:revision>
  <dcterms:created xsi:type="dcterms:W3CDTF">2024-05-30T05:08:00Z</dcterms:created>
  <dcterms:modified xsi:type="dcterms:W3CDTF">2026-05-22T09:29:10Z</dcterms:modified>
</cp:coreProperties>
</file>