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7030470"/>
        <w:docPartObj>
          <w:docPartGallery w:val="Cover Pages"/>
          <w:docPartUnique/>
        </w:docPartObj>
      </w:sdtPr>
      <w:sdtEndPr/>
      <w:sdtContent>
        <w:tbl>
          <w:tblPr>
            <w:tblStyle w:val="aa"/>
            <w:tblpPr w:leftFromText="180" w:rightFromText="180" w:horzAnchor="margin" w:tblpY="-4060"/>
            <w:tblW w:w="10314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12"/>
            <w:gridCol w:w="284"/>
            <w:gridCol w:w="3118"/>
          </w:tblGrid>
          <w:tr w:rsidR="006435DB" w:rsidRPr="00B822D0" w14:paraId="0045DEC1" w14:textId="77777777" w:rsidTr="00456C20">
            <w:trPr>
              <w:trHeight w:val="2131"/>
            </w:trPr>
            <w:tc>
              <w:tcPr>
                <w:tcW w:w="6912" w:type="dxa"/>
                <w:vMerge w:val="restart"/>
                <w:hideMark/>
              </w:tcPr>
              <w:p w14:paraId="43FFF304" w14:textId="7706B7FA" w:rsidR="006435DB" w:rsidRDefault="004B595E" w:rsidP="00456C20">
                <w:pPr>
                  <w:autoSpaceDE w:val="0"/>
                  <w:autoSpaceDN w:val="0"/>
                  <w:adjustRightInd w:val="0"/>
                  <w:spacing w:before="0" w:after="0"/>
                  <w:textAlignment w:val="center"/>
                  <w:rPr>
                    <w:rFonts w:ascii="Times New Roman" w:eastAsia="Calibri" w:hAnsi="Times New Roman" w:cs="Times New Roman"/>
                    <w:color w:val="4472C4" w:themeColor="accent1"/>
                    <w:sz w:val="80"/>
                    <w:szCs w:val="80"/>
                    <w:lang w:val="ru-RU"/>
                  </w:rPr>
                </w:pPr>
                <w:r>
                  <w:rPr>
                    <w:rFonts w:ascii="Times New Roman" w:eastAsia="Calibri" w:hAnsi="Times New Roman" w:cs="Times New Roman"/>
                    <w:color w:val="4472C4" w:themeColor="accent1"/>
                    <w:sz w:val="80"/>
                    <w:szCs w:val="80"/>
                    <w:lang w:val="ru-RU"/>
                  </w:rPr>
                  <w:t>Частное техническое задание</w:t>
                </w:r>
              </w:p>
              <w:p w14:paraId="4D1AB665" w14:textId="1803B5D1" w:rsidR="006435DB" w:rsidRDefault="00A472B2" w:rsidP="00DB41CD">
                <w:pPr>
                  <w:autoSpaceDE w:val="0"/>
                  <w:autoSpaceDN w:val="0"/>
                  <w:adjustRightInd w:val="0"/>
                  <w:spacing w:before="0" w:after="0"/>
                  <w:textAlignment w:val="center"/>
                  <w:rPr>
                    <w:rFonts w:ascii="Times New Roman" w:eastAsia="Calibri" w:hAnsi="Times New Roman" w:cs="Times New Roman"/>
                    <w:color w:val="4472C4" w:themeColor="accent1"/>
                    <w:sz w:val="40"/>
                    <w:szCs w:val="40"/>
                    <w:lang w:val="ru-RU"/>
                  </w:rPr>
                </w:pPr>
                <w:r>
                  <w:rPr>
                    <w:rFonts w:ascii="Times New Roman" w:eastAsia="Calibri" w:hAnsi="Times New Roman" w:cs="Times New Roman"/>
                    <w:color w:val="4472C4" w:themeColor="accent1"/>
                    <w:sz w:val="40"/>
                    <w:szCs w:val="40"/>
                    <w:lang w:val="ru-RU"/>
                  </w:rPr>
                  <w:t>Доработка документа «Заказ материалов в производство».</w:t>
                </w:r>
              </w:p>
            </w:tc>
            <w:tc>
              <w:tcPr>
                <w:tcW w:w="284" w:type="dxa"/>
              </w:tcPr>
              <w:p w14:paraId="14D427A5" w14:textId="77777777" w:rsidR="006435DB" w:rsidRDefault="006435DB" w:rsidP="00456C20">
                <w:pPr>
                  <w:pStyle w:val="a8"/>
                  <w:spacing w:before="0" w:after="0"/>
                  <w:rPr>
                    <w:rFonts w:ascii="Times New Roman" w:hAnsi="Times New Roman" w:cs="Times New Roman"/>
                    <w:color w:val="4472C4" w:themeColor="accent1"/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118" w:type="dxa"/>
              </w:tcPr>
              <w:p w14:paraId="2A01AE73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1D8E2C86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724ED3BD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551DE94D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778C21AF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55F53A4C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3BCA5C09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5D39AAB9" w14:textId="736C6DFF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21C4D10A" w14:textId="16943AC9" w:rsidR="009A5DC7" w:rsidRDefault="009A5DC7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4F9FF5CE" w14:textId="46A5AFEF" w:rsidR="009A5DC7" w:rsidRDefault="009A5DC7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5D5B4455" w14:textId="115948EC" w:rsidR="009A5DC7" w:rsidRDefault="009A5DC7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294F499F" w14:textId="77777777" w:rsidR="009A5DC7" w:rsidRDefault="009A5DC7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085752CD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191042EA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  <w:p w14:paraId="1FE3C694" w14:textId="77777777" w:rsidR="006435DB" w:rsidRDefault="006435DB" w:rsidP="00456C20">
                <w:pPr>
                  <w:tabs>
                    <w:tab w:val="center" w:pos="4513"/>
                    <w:tab w:val="right" w:pos="9026"/>
                  </w:tabs>
                  <w:spacing w:before="0" w:after="0"/>
                  <w:rPr>
                    <w:rFonts w:ascii="Times New Roman" w:eastAsia="Calibri" w:hAnsi="Times New Roman" w:cs="Times New Roman"/>
                    <w:i/>
                    <w:iCs/>
                    <w:color w:val="4472C4" w:themeColor="accent1"/>
                    <w:lang w:val="ru-RU"/>
                  </w:rPr>
                </w:pPr>
              </w:p>
            </w:tc>
          </w:tr>
          <w:tr w:rsidR="006435DB" w14:paraId="24A9C6E7" w14:textId="77777777" w:rsidTr="00456C20">
            <w:trPr>
              <w:trHeight w:val="20"/>
            </w:trPr>
            <w:tc>
              <w:tcPr>
                <w:tcW w:w="0" w:type="auto"/>
                <w:vMerge/>
                <w:vAlign w:val="center"/>
                <w:hideMark/>
              </w:tcPr>
              <w:p w14:paraId="137F546E" w14:textId="77777777" w:rsidR="006435DB" w:rsidRDefault="006435DB" w:rsidP="00456C20">
                <w:pPr>
                  <w:spacing w:before="0" w:after="0"/>
                  <w:rPr>
                    <w:rFonts w:ascii="Times New Roman" w:eastAsia="Calibri" w:hAnsi="Times New Roman" w:cs="Times New Roman"/>
                    <w:color w:val="4472C4" w:themeColor="accent1"/>
                    <w:sz w:val="40"/>
                    <w:szCs w:val="40"/>
                    <w:lang w:val="ru-RU"/>
                  </w:rPr>
                </w:pPr>
              </w:p>
            </w:tc>
            <w:tc>
              <w:tcPr>
                <w:tcW w:w="284" w:type="dxa"/>
              </w:tcPr>
              <w:p w14:paraId="16D6A9ED" w14:textId="77777777" w:rsidR="006435DB" w:rsidRDefault="006435DB" w:rsidP="00456C20">
                <w:pPr>
                  <w:pStyle w:val="a8"/>
                  <w:spacing w:before="0" w:after="0"/>
                  <w:rPr>
                    <w:rFonts w:ascii="Times New Roman" w:hAnsi="Times New Roman" w:cs="Times New Roman"/>
                    <w:color w:val="4472C4" w:themeColor="accent1"/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118" w:type="dxa"/>
                <w:hideMark/>
              </w:tcPr>
              <w:p w14:paraId="4441A027" w14:textId="4FFA6983" w:rsidR="006435DB" w:rsidRDefault="00B822D0" w:rsidP="009A5DC7">
                <w:pPr>
                  <w:pStyle w:val="a8"/>
                  <w:spacing w:before="0" w:after="0"/>
                  <w:rPr>
                    <w:rFonts w:ascii="Times New Roman" w:hAnsi="Times New Roman" w:cs="Times New Roman"/>
                    <w:color w:val="4472C4" w:themeColor="accent1"/>
                    <w:spacing w:val="0"/>
                    <w:sz w:val="56"/>
                    <w:szCs w:val="20"/>
                    <w:lang w:val="ru-RU"/>
                  </w:rPr>
                </w:pPr>
                <w:r>
                  <w:rPr>
                    <w:rFonts w:ascii="Times New Roman" w:hAnsi="Times New Roman" w:cs="Times New Roman"/>
                    <w:color w:val="4472C4" w:themeColor="accent1"/>
                    <w:spacing w:val="0"/>
                    <w:sz w:val="20"/>
                    <w:szCs w:val="20"/>
                    <w:lang w:val="ru-RU"/>
                  </w:rPr>
                  <w:t>05 декабря</w:t>
                </w:r>
                <w:r w:rsidR="006435DB">
                  <w:rPr>
                    <w:rFonts w:ascii="Times New Roman" w:hAnsi="Times New Roman" w:cs="Times New Roman"/>
                    <w:color w:val="4472C4" w:themeColor="accent1"/>
                    <w:spacing w:val="0"/>
                    <w:sz w:val="20"/>
                    <w:szCs w:val="20"/>
                    <w:lang w:val="ru-RU"/>
                  </w:rPr>
                  <w:t xml:space="preserve"> 20</w:t>
                </w:r>
                <w:r w:rsidR="009A5DC7">
                  <w:rPr>
                    <w:rFonts w:ascii="Times New Roman" w:hAnsi="Times New Roman" w:cs="Times New Roman"/>
                    <w:color w:val="4472C4" w:themeColor="accent1"/>
                    <w:spacing w:val="0"/>
                    <w:sz w:val="20"/>
                    <w:szCs w:val="20"/>
                    <w:lang w:val="ru-RU"/>
                  </w:rPr>
                  <w:t>24</w:t>
                </w:r>
                <w:r w:rsidR="006435DB">
                  <w:rPr>
                    <w:rFonts w:ascii="Times New Roman" w:hAnsi="Times New Roman" w:cs="Times New Roman"/>
                    <w:color w:val="4472C4" w:themeColor="accent1"/>
                    <w:spacing w:val="0"/>
                    <w:sz w:val="20"/>
                    <w:szCs w:val="20"/>
                    <w:lang w:val="ru-RU"/>
                  </w:rPr>
                  <w:t xml:space="preserve"> г.</w:t>
                </w:r>
              </w:p>
            </w:tc>
          </w:tr>
        </w:tbl>
        <w:p w14:paraId="5C6DD01F" w14:textId="77777777" w:rsidR="006435DB" w:rsidRDefault="00CA05CC" w:rsidP="006435DB">
          <w:pPr>
            <w:spacing w:before="0" w:after="0"/>
            <w:sectPr w:rsidR="006435DB" w:rsidSect="009A5DC7">
              <w:footerReference w:type="default" r:id="rId8"/>
              <w:pgSz w:w="11906" w:h="16838"/>
              <w:pgMar w:top="10632" w:right="4961" w:bottom="851" w:left="851" w:header="567" w:footer="567" w:gutter="0"/>
              <w:cols w:space="720"/>
            </w:sectPr>
          </w:pPr>
        </w:p>
      </w:sdtContent>
    </w:sdt>
    <w:sdt>
      <w:sdtPr>
        <w:rPr>
          <w:rFonts w:ascii="Arial" w:eastAsiaTheme="minorHAnsi" w:hAnsi="Arial" w:cstheme="minorBidi"/>
          <w:color w:val="auto"/>
          <w:sz w:val="20"/>
          <w:szCs w:val="20"/>
          <w:lang w:val="en-GB" w:eastAsia="en-US"/>
        </w:rPr>
        <w:id w:val="106176590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056282BC" w14:textId="1B82C774" w:rsidR="00586CCD" w:rsidRDefault="00586CCD">
          <w:pPr>
            <w:pStyle w:val="ac"/>
          </w:pPr>
          <w:r>
            <w:t>Оглавление</w:t>
          </w:r>
        </w:p>
        <w:p w14:paraId="33237F15" w14:textId="5D4588BD" w:rsidR="00D24883" w:rsidRDefault="00586C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186414" w:history="1">
            <w:r w:rsidR="00D24883" w:rsidRPr="00B06217">
              <w:rPr>
                <w:rStyle w:val="a3"/>
                <w:noProof/>
                <w:lang w:val="ru-RU" w:eastAsia="ru-RU"/>
              </w:rPr>
              <w:t>Проверка и согласование документа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_Toc183186414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3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73CF17AD" w14:textId="3391DFD0" w:rsidR="00D24883" w:rsidRDefault="00CA05C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15" w:history="1">
            <w:r w:rsidR="00D24883" w:rsidRPr="00B06217">
              <w:rPr>
                <w:rStyle w:val="a3"/>
                <w:noProof/>
                <w:lang w:val="ru-RU" w:eastAsia="ru-RU"/>
              </w:rPr>
              <w:t>Глоссарий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_Toc183186415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6ACC39E3" w14:textId="1B626A71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16" w:history="1">
            <w:r w:rsidR="00D24883" w:rsidRPr="00B06217">
              <w:rPr>
                <w:rStyle w:val="a3"/>
                <w:noProof/>
                <w:lang w:val="ru-RU" w:eastAsia="ru-RU"/>
              </w:rPr>
              <w:t>1.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Введение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_Toc183186416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37D5A4FD" w14:textId="5036C7BB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17" w:history="1">
            <w:r w:rsidR="00D24883" w:rsidRPr="00B06217">
              <w:rPr>
                <w:rStyle w:val="a3"/>
                <w:noProof/>
                <w:lang w:val="ru-RU" w:eastAsia="ru-RU"/>
              </w:rPr>
              <w:t>2.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Основание и назначение доработки Системы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_Toc183186417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1A274A90" w14:textId="07B2332A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18" w:history="1">
            <w:r w:rsidR="00D24883" w:rsidRPr="00B06217">
              <w:rPr>
                <w:rStyle w:val="a3"/>
                <w:noProof/>
                <w:lang w:val="ru-RU" w:eastAsia="ru-RU"/>
              </w:rPr>
              <w:t>3.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Требования к доработке Системы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_Toc183186418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7064492E" w14:textId="26C99AD5" w:rsidR="00D24883" w:rsidRDefault="00CA05CC">
          <w:pPr>
            <w:pStyle w:val="2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ru-RU" w:eastAsia="ru-RU"/>
            </w:rPr>
          </w:pPr>
          <w:hyperlink w:anchor="_Toc183186419" w:history="1">
            <w:r w:rsidR="00D24883" w:rsidRPr="00B06217">
              <w:rPr>
                <w:rStyle w:val="a3"/>
                <w:noProof/>
                <w:lang w:val="ru-RU" w:eastAsia="ru-RU"/>
              </w:rPr>
              <w:t>3.1</w:t>
            </w:r>
            <w:r w:rsidR="00D24883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Перечень требований по выявленным функциональным разрывам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_Toc183186419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525865DE" w14:textId="672E6176" w:rsidR="00D24883" w:rsidRDefault="00CA05CC">
          <w:pPr>
            <w:pStyle w:val="2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ru-RU" w:eastAsia="ru-RU"/>
            </w:rPr>
          </w:pPr>
          <w:hyperlink w:anchor="_Toc183186420" w:history="1">
            <w:r w:rsidR="00D24883" w:rsidRPr="00B06217">
              <w:rPr>
                <w:rStyle w:val="a3"/>
                <w:noProof/>
                <w:lang w:val="ru-RU" w:eastAsia="ru-RU"/>
              </w:rPr>
              <w:t>3.2</w:t>
            </w:r>
            <w:r w:rsidR="00D24883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Описание реализации требований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_Toc183186420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2448CEBD" w14:textId="41863F5F" w:rsidR="00D24883" w:rsidRDefault="00CA05CC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ru-RU" w:eastAsia="ru-RU"/>
            </w:rPr>
          </w:pPr>
          <w:hyperlink w:anchor="_Toc183186421" w:history="1">
            <w:r w:rsidR="00D24883" w:rsidRPr="00B06217">
              <w:rPr>
                <w:rStyle w:val="a3"/>
                <w:noProof/>
                <w:lang w:val="ru-RU" w:eastAsia="ru-RU"/>
              </w:rPr>
              <w:t>3.2.1</w:t>
            </w:r>
            <w:r w:rsidR="00D24883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Заполнение документа «Заказ материалов в производство»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_Toc183186421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4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18300161" w14:textId="4D6E01C0" w:rsidR="00D24883" w:rsidRDefault="00CA05CC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ru-RU" w:eastAsia="ru-RU"/>
            </w:rPr>
          </w:pPr>
          <w:hyperlink w:anchor="_Toc183186422" w:history="1">
            <w:r w:rsidR="00D24883" w:rsidRPr="00B06217">
              <w:rPr>
                <w:rStyle w:val="a3"/>
                <w:noProof/>
                <w:lang w:val="ru-RU"/>
              </w:rPr>
              <w:t>3.2.2</w:t>
            </w:r>
            <w:r w:rsidR="00D24883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/>
              </w:rPr>
              <w:t>Указание ресурсной спецификации в документе «Заказ материалов в производство»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_Toc183186422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5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04B19C1E" w14:textId="54DD7B14" w:rsidR="00D24883" w:rsidRDefault="00CA05CC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ru-RU" w:eastAsia="ru-RU"/>
            </w:rPr>
          </w:pPr>
          <w:hyperlink w:anchor="_Toc183186423" w:history="1">
            <w:r w:rsidR="00D24883" w:rsidRPr="00B06217">
              <w:rPr>
                <w:rStyle w:val="a3"/>
                <w:noProof/>
                <w:lang w:val="ru-RU"/>
              </w:rPr>
              <w:t>3.2.3</w:t>
            </w:r>
            <w:r w:rsidR="00D24883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/>
              </w:rPr>
              <w:t>Разрешения на замену материалов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_Toc183186423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6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2CBECF04" w14:textId="53065AEE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24" w:history="1">
            <w:r w:rsidR="00D24883" w:rsidRPr="00B06217">
              <w:rPr>
                <w:rStyle w:val="a3"/>
                <w:noProof/>
                <w:lang w:val="ru-RU" w:eastAsia="ru-RU"/>
              </w:rPr>
              <w:t>4.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Требования к документации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_Toc183186424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8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2F18950F" w14:textId="05F8B7A3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25" w:history="1">
            <w:r w:rsidR="00D24883" w:rsidRPr="00B06217">
              <w:rPr>
                <w:rStyle w:val="a3"/>
                <w:noProof/>
                <w:lang w:val="ru-RU" w:eastAsia="ru-RU"/>
              </w:rPr>
              <w:t>5.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Стадии и этапы разработки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_Toc183186425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8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5D1B3AA9" w14:textId="3BBD4FB2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26" w:history="1">
            <w:r w:rsidR="00D24883" w:rsidRPr="00B06217">
              <w:rPr>
                <w:rStyle w:val="a3"/>
                <w:noProof/>
                <w:lang w:val="ru-RU" w:eastAsia="ru-RU"/>
              </w:rPr>
              <w:t>6.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Порядок контроля и приемки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_Toc183186426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9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78A659E8" w14:textId="755E98F8" w:rsidR="00D24883" w:rsidRDefault="00CA05CC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183186427" w:history="1">
            <w:r w:rsidR="00D24883" w:rsidRPr="00B06217">
              <w:rPr>
                <w:rStyle w:val="a3"/>
                <w:noProof/>
                <w:lang w:val="ru-RU" w:eastAsia="ru-RU"/>
              </w:rPr>
              <w:t>7.</w:t>
            </w:r>
            <w:r w:rsidR="00D24883">
              <w:rPr>
                <w:rFonts w:asciiTheme="minorHAnsi" w:eastAsiaTheme="minorEastAsia" w:hAnsiTheme="minorHAnsi"/>
                <w:b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="00D24883" w:rsidRPr="00B06217">
              <w:rPr>
                <w:rStyle w:val="a3"/>
                <w:noProof/>
                <w:lang w:val="ru-RU" w:eastAsia="ru-RU"/>
              </w:rPr>
              <w:t>Заключение.</w:t>
            </w:r>
            <w:r w:rsidR="00D24883">
              <w:rPr>
                <w:noProof/>
                <w:webHidden/>
              </w:rPr>
              <w:tab/>
            </w:r>
            <w:r w:rsidR="00D24883">
              <w:rPr>
                <w:noProof/>
                <w:webHidden/>
              </w:rPr>
              <w:fldChar w:fldCharType="begin"/>
            </w:r>
            <w:r w:rsidR="00D24883">
              <w:rPr>
                <w:noProof/>
                <w:webHidden/>
              </w:rPr>
              <w:instrText xml:space="preserve"> PAGEREF _Toc183186427 \h </w:instrText>
            </w:r>
            <w:r w:rsidR="00D24883">
              <w:rPr>
                <w:noProof/>
                <w:webHidden/>
              </w:rPr>
            </w:r>
            <w:r w:rsidR="00D24883">
              <w:rPr>
                <w:noProof/>
                <w:webHidden/>
              </w:rPr>
              <w:fldChar w:fldCharType="separate"/>
            </w:r>
            <w:r w:rsidR="00D24883">
              <w:rPr>
                <w:noProof/>
                <w:webHidden/>
              </w:rPr>
              <w:t>11</w:t>
            </w:r>
            <w:r w:rsidR="00D24883">
              <w:rPr>
                <w:noProof/>
                <w:webHidden/>
              </w:rPr>
              <w:fldChar w:fldCharType="end"/>
            </w:r>
          </w:hyperlink>
        </w:p>
        <w:p w14:paraId="749F4028" w14:textId="7DEAC8BA" w:rsidR="009A5DC7" w:rsidRDefault="00586CCD" w:rsidP="006435D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08CC8F53" w14:textId="0661E51D" w:rsidR="006435DB" w:rsidRDefault="006435DB" w:rsidP="006435DB">
      <w:pPr>
        <w:rPr>
          <w:rFonts w:eastAsiaTheme="majorEastAsia" w:cstheme="minorHAnsi"/>
          <w:b/>
          <w:bCs/>
          <w:i/>
          <w:sz w:val="56"/>
          <w:szCs w:val="28"/>
        </w:rPr>
      </w:pPr>
      <w:r>
        <w:rPr>
          <w:rFonts w:cstheme="minorHAnsi"/>
        </w:rPr>
        <w:br w:type="page"/>
      </w:r>
    </w:p>
    <w:p w14:paraId="2AA32953" w14:textId="77777777" w:rsidR="006435DB" w:rsidRDefault="006435DB" w:rsidP="006435DB">
      <w:pPr>
        <w:pStyle w:val="1"/>
        <w:rPr>
          <w:rFonts w:eastAsiaTheme="minorHAnsi"/>
          <w:lang w:val="ru-RU" w:eastAsia="ru-RU"/>
        </w:rPr>
      </w:pPr>
      <w:bookmarkStart w:id="0" w:name="_Toc181693005"/>
      <w:bookmarkStart w:id="1" w:name="_Toc181782202"/>
      <w:bookmarkStart w:id="2" w:name="_Toc183186414"/>
      <w:r>
        <w:rPr>
          <w:rFonts w:eastAsiaTheme="minorHAnsi"/>
          <w:lang w:val="ru-RU" w:eastAsia="ru-RU"/>
        </w:rPr>
        <w:lastRenderedPageBreak/>
        <w:t>Проверка и согласование документа</w:t>
      </w:r>
      <w:bookmarkEnd w:id="0"/>
      <w:bookmarkEnd w:id="1"/>
      <w:bookmarkEnd w:id="2"/>
    </w:p>
    <w:p w14:paraId="50751FE5" w14:textId="717B1F46" w:rsidR="006435DB" w:rsidRDefault="006435DB" w:rsidP="006435DB">
      <w:pPr>
        <w:rPr>
          <w:rFonts w:eastAsiaTheme="majorEastAsia" w:cstheme="majorBidi"/>
          <w:b/>
          <w:color w:val="4472C4" w:themeColor="accent1"/>
          <w:szCs w:val="26"/>
          <w:lang w:val="ru-RU"/>
        </w:rPr>
      </w:pPr>
      <w:bookmarkStart w:id="3" w:name="_Toc109395823"/>
      <w:bookmarkStart w:id="4" w:name="_Toc109659984"/>
      <w:r>
        <w:rPr>
          <w:rFonts w:eastAsiaTheme="majorEastAsia" w:cstheme="majorBidi"/>
          <w:b/>
          <w:color w:val="4472C4" w:themeColor="accent1"/>
          <w:szCs w:val="26"/>
          <w:lang w:val="ru-RU"/>
        </w:rPr>
        <w:t>Версии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240"/>
        <w:gridCol w:w="1982"/>
        <w:gridCol w:w="2263"/>
      </w:tblGrid>
      <w:tr w:rsidR="006435DB" w14:paraId="1C277C9C" w14:textId="77777777" w:rsidTr="006435DB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38556201" w14:textId="77777777" w:rsidR="006435DB" w:rsidRDefault="006435DB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>Версия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3E9D9F5F" w14:textId="244C5211" w:rsidR="006435DB" w:rsidRDefault="003563FA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 xml:space="preserve">        </w:t>
            </w:r>
            <w:r w:rsidR="006435DB">
              <w:rPr>
                <w:b/>
                <w:color w:val="4472C4" w:themeColor="accent1"/>
                <w:sz w:val="18"/>
                <w:lang w:val="ru-RU"/>
              </w:rPr>
              <w:t>Автор (ФИО)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3FF7E5A4" w14:textId="77777777" w:rsidR="006435DB" w:rsidRDefault="006435DB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>Описание изменения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24318E29" w14:textId="77777777" w:rsidR="006435DB" w:rsidRDefault="006435DB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>Дата</w:t>
            </w:r>
          </w:p>
        </w:tc>
      </w:tr>
      <w:tr w:rsidR="006435DB" w14:paraId="42628F2E" w14:textId="77777777" w:rsidTr="006435DB">
        <w:tc>
          <w:tcPr>
            <w:tcW w:w="84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31E42B9D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425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1969EFB1" w14:textId="0C6DC128" w:rsidR="006435DB" w:rsidRDefault="004F55F3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Радевич В.Н.</w:t>
            </w:r>
          </w:p>
        </w:tc>
        <w:tc>
          <w:tcPr>
            <w:tcW w:w="198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101D21FC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Создание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48AD7B5E" w14:textId="4843DD14" w:rsidR="006435DB" w:rsidRDefault="00B822D0">
            <w:pPr>
              <w:spacing w:before="0" w:after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05.12.2024</w:t>
            </w:r>
          </w:p>
        </w:tc>
      </w:tr>
      <w:tr w:rsidR="006435DB" w14:paraId="601AABD6" w14:textId="77777777" w:rsidTr="006435DB">
        <w:tc>
          <w:tcPr>
            <w:tcW w:w="84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A1B9CDE" w14:textId="7DA50231" w:rsidR="006435DB" w:rsidRDefault="00151A10">
            <w:pPr>
              <w:spacing w:before="0" w:after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425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05DE396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CF0E3C2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05E6378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</w:tr>
      <w:tr w:rsidR="006435DB" w14:paraId="7D87DF3E" w14:textId="77777777" w:rsidTr="006435DB">
        <w:tc>
          <w:tcPr>
            <w:tcW w:w="84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A3F2840" w14:textId="5941D535" w:rsidR="006435DB" w:rsidRDefault="00AE2FC2">
            <w:pPr>
              <w:spacing w:before="0" w:after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425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3F81496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F3AA9B7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88DA88C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</w:tr>
      <w:tr w:rsidR="006435DB" w14:paraId="6C75A90A" w14:textId="77777777" w:rsidTr="006435DB">
        <w:tc>
          <w:tcPr>
            <w:tcW w:w="84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08C4C4D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425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1580CB4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EC09FE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F481C61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</w:tr>
    </w:tbl>
    <w:p w14:paraId="78E2C716" w14:textId="77777777" w:rsidR="006435DB" w:rsidRDefault="006435DB" w:rsidP="006435DB">
      <w:pPr>
        <w:rPr>
          <w:rFonts w:eastAsiaTheme="majorEastAsia" w:cstheme="majorBidi"/>
          <w:b/>
          <w:color w:val="4472C4" w:themeColor="accent1"/>
          <w:szCs w:val="26"/>
          <w:lang w:val="ru-RU"/>
        </w:rPr>
      </w:pPr>
      <w:r>
        <w:rPr>
          <w:rFonts w:eastAsiaTheme="majorEastAsia" w:cstheme="majorBidi"/>
          <w:b/>
          <w:color w:val="4472C4" w:themeColor="accent1"/>
          <w:szCs w:val="26"/>
          <w:lang w:val="ru-RU"/>
        </w:rPr>
        <w:t>Проверено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6324"/>
        <w:gridCol w:w="2283"/>
      </w:tblGrid>
      <w:tr w:rsidR="006435DB" w14:paraId="5ED44836" w14:textId="77777777" w:rsidTr="006435D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EFC8AE8" w14:textId="77777777" w:rsidR="006435DB" w:rsidRDefault="006435DB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</w:p>
        </w:tc>
        <w:tc>
          <w:tcPr>
            <w:tcW w:w="338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2969C01F" w14:textId="77777777" w:rsidR="006435DB" w:rsidRDefault="006435DB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>Проверяющий (ФИО)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58FC36EF" w14:textId="77777777" w:rsidR="006435DB" w:rsidRDefault="006435DB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>Дата проверки</w:t>
            </w:r>
          </w:p>
        </w:tc>
      </w:tr>
      <w:tr w:rsidR="006435DB" w14:paraId="275AFB6D" w14:textId="77777777" w:rsidTr="006435DB">
        <w:tc>
          <w:tcPr>
            <w:tcW w:w="400" w:type="pct"/>
            <w:tcBorders>
              <w:top w:val="nil"/>
              <w:left w:val="nil"/>
              <w:bottom w:val="single" w:sz="4" w:space="0" w:color="999999"/>
              <w:right w:val="nil"/>
            </w:tcBorders>
            <w:hideMark/>
          </w:tcPr>
          <w:p w14:paraId="10E33435" w14:textId="77777777" w:rsidR="006435DB" w:rsidRDefault="006435DB">
            <w:pPr>
              <w:spacing w:before="0"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3380" w:type="pct"/>
            <w:tcBorders>
              <w:top w:val="nil"/>
              <w:left w:val="nil"/>
              <w:bottom w:val="single" w:sz="4" w:space="0" w:color="999999"/>
              <w:right w:val="nil"/>
            </w:tcBorders>
            <w:hideMark/>
          </w:tcPr>
          <w:p w14:paraId="7756A101" w14:textId="77777777" w:rsidR="006435DB" w:rsidRDefault="006435DB">
            <w:pPr>
              <w:rPr>
                <w:sz w:val="18"/>
                <w:lang w:val="en-US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6B95B4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</w:tr>
      <w:tr w:rsidR="006435DB" w14:paraId="030A334B" w14:textId="77777777" w:rsidTr="006435DB">
        <w:tc>
          <w:tcPr>
            <w:tcW w:w="40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686C40B0" w14:textId="77777777" w:rsidR="006435DB" w:rsidRDefault="006435DB">
            <w:pPr>
              <w:spacing w:before="0"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338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BFA93B4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7012C37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</w:tr>
      <w:tr w:rsidR="006435DB" w14:paraId="23681AA0" w14:textId="77777777" w:rsidTr="006435DB">
        <w:tc>
          <w:tcPr>
            <w:tcW w:w="40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395E7AB8" w14:textId="77777777" w:rsidR="006435DB" w:rsidRDefault="006435DB">
            <w:pPr>
              <w:spacing w:before="0"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338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896C0B4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A6BC4C2" w14:textId="77777777" w:rsidR="006435DB" w:rsidRDefault="006435DB">
            <w:pPr>
              <w:spacing w:before="0" w:after="0"/>
              <w:rPr>
                <w:sz w:val="18"/>
                <w:lang w:val="ru-RU"/>
              </w:rPr>
            </w:pPr>
          </w:p>
        </w:tc>
      </w:tr>
    </w:tbl>
    <w:p w14:paraId="12A142E7" w14:textId="77777777" w:rsidR="006435DB" w:rsidRDefault="006435DB" w:rsidP="006435DB">
      <w:pPr>
        <w:rPr>
          <w:rFonts w:asciiTheme="minorHAnsi" w:hAnsiTheme="minorHAnsi" w:cstheme="minorHAnsi"/>
          <w:lang w:eastAsia="en-AU"/>
        </w:rPr>
      </w:pPr>
    </w:p>
    <w:p w14:paraId="79831FFC" w14:textId="77777777" w:rsidR="003563FA" w:rsidRPr="001F6D86" w:rsidRDefault="003563FA" w:rsidP="003563FA">
      <w:pPr>
        <w:rPr>
          <w:rFonts w:eastAsiaTheme="majorEastAsia" w:cstheme="majorBidi"/>
          <w:b/>
          <w:color w:val="4472C4" w:themeColor="accent1"/>
          <w:szCs w:val="26"/>
          <w:lang w:val="ru-RU"/>
        </w:rPr>
      </w:pPr>
      <w:r w:rsidRPr="001F6D86">
        <w:rPr>
          <w:rFonts w:eastAsiaTheme="majorEastAsia" w:cstheme="majorBidi"/>
          <w:b/>
          <w:color w:val="4472C4" w:themeColor="accent1"/>
          <w:szCs w:val="26"/>
          <w:lang w:val="ru-RU"/>
        </w:rPr>
        <w:t>Согласовано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163"/>
        <w:gridCol w:w="1192"/>
        <w:gridCol w:w="1972"/>
        <w:gridCol w:w="2283"/>
      </w:tblGrid>
      <w:tr w:rsidR="003563FA" w:rsidRPr="00C62621" w14:paraId="10BC9186" w14:textId="77777777" w:rsidTr="003563FA"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66EF5AB" w14:textId="77777777" w:rsidR="003563FA" w:rsidRPr="002D1935" w:rsidRDefault="003563FA" w:rsidP="00382727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</w:p>
        </w:tc>
        <w:tc>
          <w:tcPr>
            <w:tcW w:w="2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59D362FB" w14:textId="32D4FCC8" w:rsidR="003563FA" w:rsidRPr="002D1935" w:rsidRDefault="003563FA" w:rsidP="00382727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>
              <w:rPr>
                <w:b/>
                <w:color w:val="4472C4" w:themeColor="accent1"/>
                <w:sz w:val="18"/>
                <w:lang w:val="ru-RU"/>
              </w:rPr>
              <w:t>С</w:t>
            </w:r>
            <w:r w:rsidRPr="002D1935">
              <w:rPr>
                <w:b/>
                <w:color w:val="4472C4" w:themeColor="accent1"/>
                <w:sz w:val="18"/>
                <w:lang w:val="ru-RU"/>
              </w:rPr>
              <w:t>пециалист (ФИО)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1D892A6D" w14:textId="77777777" w:rsidR="003563FA" w:rsidRPr="002D1935" w:rsidRDefault="003563FA" w:rsidP="00382727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 w:rsidRPr="002D1935">
              <w:rPr>
                <w:b/>
                <w:color w:val="4472C4" w:themeColor="accent1"/>
                <w:sz w:val="18"/>
                <w:lang w:val="ru-RU"/>
              </w:rPr>
              <w:t>Подпись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14:paraId="322D5903" w14:textId="77777777" w:rsidR="003563FA" w:rsidRPr="002D1935" w:rsidRDefault="003563FA" w:rsidP="00382727">
            <w:pPr>
              <w:spacing w:before="0" w:after="0"/>
              <w:rPr>
                <w:b/>
                <w:color w:val="4472C4" w:themeColor="accent1"/>
                <w:sz w:val="18"/>
                <w:lang w:val="ru-RU"/>
              </w:rPr>
            </w:pPr>
            <w:r w:rsidRPr="002D1935">
              <w:rPr>
                <w:b/>
                <w:color w:val="4472C4" w:themeColor="accent1"/>
                <w:sz w:val="18"/>
                <w:lang w:val="ru-RU"/>
              </w:rPr>
              <w:t>Дата проверки</w:t>
            </w:r>
          </w:p>
        </w:tc>
      </w:tr>
      <w:tr w:rsidR="003563FA" w:rsidRPr="001F6D86" w14:paraId="713169D4" w14:textId="77777777" w:rsidTr="00382727">
        <w:trPr>
          <w:cantSplit/>
        </w:trPr>
        <w:tc>
          <w:tcPr>
            <w:tcW w:w="399" w:type="pct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D277575" w14:textId="77777777" w:rsidR="003563FA" w:rsidRPr="001F6D86" w:rsidRDefault="003563FA" w:rsidP="00382727">
            <w:pPr>
              <w:spacing w:before="0"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DD1D0AF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691" w:type="pct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53FB8D7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8A30632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</w:tr>
      <w:tr w:rsidR="003563FA" w:rsidRPr="001F6D86" w14:paraId="0CB21B85" w14:textId="77777777" w:rsidTr="00382727">
        <w:trPr>
          <w:cantSplit/>
        </w:trPr>
        <w:tc>
          <w:tcPr>
            <w:tcW w:w="399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FB5D6AA" w14:textId="77777777" w:rsidR="003563FA" w:rsidRPr="001F6D86" w:rsidRDefault="003563FA" w:rsidP="00382727">
            <w:pPr>
              <w:spacing w:before="0"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69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F8F9EB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398951E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F9D9D8D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</w:tr>
      <w:tr w:rsidR="003563FA" w:rsidRPr="001F6D86" w14:paraId="310D4589" w14:textId="77777777" w:rsidTr="00382727">
        <w:trPr>
          <w:cantSplit/>
        </w:trPr>
        <w:tc>
          <w:tcPr>
            <w:tcW w:w="399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7D66302" w14:textId="77777777" w:rsidR="003563FA" w:rsidRPr="001F6D86" w:rsidRDefault="003563FA" w:rsidP="00382727">
            <w:pPr>
              <w:spacing w:before="0"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69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6A10536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A51DF61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1F36242" w14:textId="77777777" w:rsidR="003563FA" w:rsidRPr="001F6D86" w:rsidRDefault="003563FA" w:rsidP="00382727">
            <w:pPr>
              <w:spacing w:before="0" w:after="0"/>
              <w:rPr>
                <w:sz w:val="18"/>
                <w:lang w:val="ru-RU"/>
              </w:rPr>
            </w:pPr>
          </w:p>
        </w:tc>
      </w:tr>
    </w:tbl>
    <w:p w14:paraId="10937626" w14:textId="77777777" w:rsidR="003563FA" w:rsidRDefault="003563FA" w:rsidP="003563FA">
      <w:pPr>
        <w:rPr>
          <w:rFonts w:asciiTheme="minorHAnsi" w:hAnsiTheme="minorHAnsi" w:cstheme="minorHAnsi"/>
          <w:lang w:eastAsia="en-AU"/>
        </w:rPr>
      </w:pPr>
    </w:p>
    <w:p w14:paraId="4F904373" w14:textId="734AE1EF" w:rsidR="006435DB" w:rsidRDefault="006435DB" w:rsidP="006435DB">
      <w:pPr>
        <w:spacing w:before="0"/>
        <w:rPr>
          <w:rFonts w:ascii="Times New Roman" w:hAnsi="Times New Roman"/>
          <w:color w:val="4472C4" w:themeColor="accent1"/>
          <w:kern w:val="28"/>
          <w:sz w:val="40"/>
          <w:lang w:val="ru-RU" w:eastAsia="ru-RU"/>
        </w:rPr>
      </w:pPr>
      <w:r>
        <w:rPr>
          <w:lang w:val="ru-RU" w:eastAsia="ru-RU"/>
        </w:rPr>
        <w:br w:type="page"/>
      </w:r>
      <w:bookmarkStart w:id="5" w:name="_Toc115696995"/>
      <w:bookmarkStart w:id="6" w:name="_Toc115692592"/>
    </w:p>
    <w:p w14:paraId="6C788112" w14:textId="77777777" w:rsidR="006435DB" w:rsidRDefault="006435DB" w:rsidP="006435DB">
      <w:pPr>
        <w:pStyle w:val="1"/>
        <w:rPr>
          <w:rFonts w:eastAsiaTheme="minorHAnsi"/>
          <w:lang w:val="ru-RU" w:eastAsia="ru-RU"/>
        </w:rPr>
      </w:pPr>
      <w:bookmarkStart w:id="7" w:name="_Toc181693006"/>
      <w:bookmarkStart w:id="8" w:name="_Toc181782203"/>
      <w:bookmarkStart w:id="9" w:name="_Toc183186415"/>
      <w:r>
        <w:rPr>
          <w:rFonts w:eastAsiaTheme="minorHAnsi"/>
          <w:lang w:val="ru-RU" w:eastAsia="ru-RU"/>
        </w:rPr>
        <w:lastRenderedPageBreak/>
        <w:t>Глоссарий</w:t>
      </w:r>
      <w:bookmarkEnd w:id="5"/>
      <w:bookmarkEnd w:id="7"/>
      <w:bookmarkEnd w:id="8"/>
      <w:bookmarkEnd w:id="9"/>
    </w:p>
    <w:tbl>
      <w:tblPr>
        <w:tblStyle w:val="TeDoTableTextblue1"/>
        <w:tblW w:w="4905" w:type="pct"/>
        <w:tblInd w:w="0" w:type="dxa"/>
        <w:tblBorders>
          <w:top w:val="single" w:sz="4" w:space="0" w:color="4472C4" w:themeColor="accent1"/>
          <w:bottom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57" w:type="dxa"/>
          <w:left w:w="57" w:type="dxa"/>
          <w:bottom w:w="57" w:type="dxa"/>
          <w:right w:w="57" w:type="dxa"/>
        </w:tblCellMar>
        <w:tblLook w:val="04E0" w:firstRow="1" w:lastRow="1" w:firstColumn="1" w:lastColumn="0" w:noHBand="0" w:noVBand="1"/>
      </w:tblPr>
      <w:tblGrid>
        <w:gridCol w:w="1849"/>
        <w:gridCol w:w="7328"/>
      </w:tblGrid>
      <w:tr w:rsidR="006435DB" w14:paraId="218B6728" w14:textId="77777777" w:rsidTr="00E90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7" w:type="dxa"/>
            <w:gridSpan w:val="2"/>
            <w:tcBorders>
              <w:left w:val="nil"/>
              <w:right w:val="nil"/>
            </w:tcBorders>
            <w:shd w:val="clear" w:color="auto" w:fill="E7E6E6" w:themeFill="background2"/>
            <w:hideMark/>
          </w:tcPr>
          <w:p w14:paraId="65FC77C3" w14:textId="77777777" w:rsidR="006435DB" w:rsidRDefault="006435DB">
            <w:pPr>
              <w:spacing w:before="0" w:after="0"/>
              <w:rPr>
                <w:rFonts w:cstheme="minorBidi"/>
                <w:b w:val="0"/>
                <w:lang w:val="en-US"/>
              </w:rPr>
            </w:pPr>
            <w:r>
              <w:rPr>
                <w:rFonts w:cstheme="minorBidi"/>
                <w:lang w:val="ru-RU"/>
              </w:rPr>
              <w:t>Сокращения и определения</w:t>
            </w:r>
          </w:p>
        </w:tc>
      </w:tr>
      <w:tr w:rsidR="006435DB" w14:paraId="625A3503" w14:textId="77777777" w:rsidTr="00E90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0131E9" w14:textId="4120F26B" w:rsidR="006435DB" w:rsidRDefault="002D20D4">
            <w:pPr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Система</w:t>
            </w:r>
          </w:p>
        </w:tc>
        <w:tc>
          <w:tcPr>
            <w:tcW w:w="73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54E4A351" w14:textId="144C567B" w:rsidR="006435DB" w:rsidRDefault="002D20D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ru-RU"/>
              </w:rPr>
            </w:pPr>
            <w:r w:rsidRPr="002D20D4">
              <w:rPr>
                <w:szCs w:val="18"/>
                <w:lang w:val="ru-RU"/>
              </w:rPr>
              <w:t>1С:ERP «Управление предприятием 2»</w:t>
            </w:r>
          </w:p>
        </w:tc>
      </w:tr>
      <w:tr w:rsidR="00662133" w14:paraId="5DF4E4F4" w14:textId="77777777" w:rsidTr="00E90B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top w:val="single" w:sz="4" w:space="0" w:color="4472C4" w:themeColor="accent1"/>
              <w:left w:val="nil"/>
              <w:right w:val="single" w:sz="4" w:space="0" w:color="4472C4" w:themeColor="accent1"/>
            </w:tcBorders>
          </w:tcPr>
          <w:p w14:paraId="2B026254" w14:textId="181B0AB2" w:rsidR="00662133" w:rsidRPr="00662133" w:rsidRDefault="00662133">
            <w:pPr>
              <w:spacing w:before="0" w:after="0"/>
              <w:rPr>
                <w:b w:val="0"/>
                <w:szCs w:val="18"/>
                <w:lang w:val="ru-RU"/>
              </w:rPr>
            </w:pPr>
            <w:r w:rsidRPr="00662133">
              <w:rPr>
                <w:b w:val="0"/>
                <w:szCs w:val="18"/>
                <w:lang w:val="ru-RU"/>
              </w:rPr>
              <w:t>ФТ</w:t>
            </w:r>
          </w:p>
        </w:tc>
        <w:tc>
          <w:tcPr>
            <w:tcW w:w="7328" w:type="dxa"/>
            <w:tcBorders>
              <w:top w:val="single" w:sz="4" w:space="0" w:color="4472C4" w:themeColor="accent1"/>
              <w:left w:val="single" w:sz="4" w:space="0" w:color="4472C4" w:themeColor="accent1"/>
              <w:right w:val="nil"/>
            </w:tcBorders>
          </w:tcPr>
          <w:p w14:paraId="1583021E" w14:textId="579C7EF4" w:rsidR="00662133" w:rsidRPr="00662133" w:rsidRDefault="00662133">
            <w:pPr>
              <w:spacing w:before="0" w:after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  <w:lang w:val="ru-RU"/>
              </w:rPr>
            </w:pPr>
            <w:r w:rsidRPr="00662133">
              <w:rPr>
                <w:b w:val="0"/>
                <w:szCs w:val="18"/>
                <w:lang w:val="ru-RU"/>
              </w:rPr>
              <w:t>Функциональное требование</w:t>
            </w:r>
          </w:p>
        </w:tc>
      </w:tr>
    </w:tbl>
    <w:p w14:paraId="78B7DCDE" w14:textId="053AF378" w:rsidR="00254774" w:rsidRDefault="004B595E" w:rsidP="00EA5FF5">
      <w:pPr>
        <w:pStyle w:val="1"/>
        <w:numPr>
          <w:ilvl w:val="0"/>
          <w:numId w:val="1"/>
        </w:numPr>
        <w:rPr>
          <w:lang w:val="ru-RU" w:eastAsia="ru-RU"/>
        </w:rPr>
      </w:pPr>
      <w:bookmarkStart w:id="10" w:name="_Toc181782204"/>
      <w:bookmarkStart w:id="11" w:name="_Toc183186416"/>
      <w:r>
        <w:rPr>
          <w:lang w:val="ru-RU" w:eastAsia="ru-RU"/>
        </w:rPr>
        <w:t>Введение</w:t>
      </w:r>
      <w:bookmarkEnd w:id="10"/>
      <w:bookmarkEnd w:id="11"/>
    </w:p>
    <w:p w14:paraId="57549EE1" w14:textId="70E96793" w:rsidR="004B595E" w:rsidRDefault="00717784" w:rsidP="00717784">
      <w:pPr>
        <w:rPr>
          <w:lang w:val="ru-RU" w:eastAsia="ru-RU"/>
        </w:rPr>
      </w:pPr>
      <w:r w:rsidRPr="00460043">
        <w:rPr>
          <w:lang w:val="ru-RU" w:eastAsia="ru-RU"/>
        </w:rPr>
        <w:t>Настоящее частное техническое задание описывает доработку Системы в части функционального блока «Производство», а также определяет критерии приемки доработок Системы и требования к технической документации, руководствам пользователя и администратора Системы. Настоящее ЧТЗ составлено с учетом кросс-функциональности возможностей Системы по разным направлениям деятельности и может включать в себя описание требований или доработок для других функциональных блоков не имеющих прямого отношения к функциональному блоку «Производство».</w:t>
      </w:r>
    </w:p>
    <w:p w14:paraId="35CD6B26" w14:textId="66D9044F" w:rsidR="004B595E" w:rsidRDefault="004B595E" w:rsidP="00EA5FF5">
      <w:pPr>
        <w:pStyle w:val="1"/>
        <w:numPr>
          <w:ilvl w:val="0"/>
          <w:numId w:val="1"/>
        </w:numPr>
        <w:rPr>
          <w:lang w:val="ru-RU" w:eastAsia="ru-RU"/>
        </w:rPr>
      </w:pPr>
      <w:bookmarkStart w:id="12" w:name="_Toc181782205"/>
      <w:bookmarkStart w:id="13" w:name="_Toc183186417"/>
      <w:r>
        <w:rPr>
          <w:lang w:val="ru-RU" w:eastAsia="ru-RU"/>
        </w:rPr>
        <w:t xml:space="preserve">Основание </w:t>
      </w:r>
      <w:r w:rsidR="00673C04">
        <w:rPr>
          <w:lang w:val="ru-RU" w:eastAsia="ru-RU"/>
        </w:rPr>
        <w:t xml:space="preserve">и назначение </w:t>
      </w:r>
      <w:r>
        <w:rPr>
          <w:lang w:val="ru-RU" w:eastAsia="ru-RU"/>
        </w:rPr>
        <w:t>доработки</w:t>
      </w:r>
      <w:r w:rsidR="00586CCD">
        <w:rPr>
          <w:lang w:val="ru-RU" w:eastAsia="ru-RU"/>
        </w:rPr>
        <w:t xml:space="preserve"> Системы</w:t>
      </w:r>
      <w:bookmarkEnd w:id="12"/>
      <w:bookmarkEnd w:id="13"/>
    </w:p>
    <w:p w14:paraId="55BFA7D3" w14:textId="37BE7154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 xml:space="preserve">Настоящее ЧТЗ разработано в соответствии с условиями Договора и Задания к нему, а также в соответствии с концепцией, изложенной в проектном решении по бизнес-процессу </w:t>
      </w:r>
      <w:r>
        <w:rPr>
          <w:lang w:val="ru-RU" w:eastAsia="ru-RU"/>
        </w:rPr>
        <w:t>«Управление Производством»</w:t>
      </w:r>
      <w:r w:rsidRPr="00717784">
        <w:rPr>
          <w:lang w:val="ru-RU" w:eastAsia="ru-RU"/>
        </w:rPr>
        <w:t>. Предпосылками возникновения доработок Системы выступили выявленные в ходе предпроектного обследования, моделирования и демонстрации контрольных примеров использования Системы функциональные разрывы - функциональные требования к Системе, предъявленные Заказчиком, которые не покрываются функциональными возможностями Системы, в том числе из-за отсутствия необходимого реализованного сценария работы пользователей.</w:t>
      </w:r>
    </w:p>
    <w:p w14:paraId="2E874968" w14:textId="01466EA5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Описанные в настоящем ЧТЗ доработки системы предназначены для устранения выявленных в ходе предпроектного обследования Системы, моделирования и демонстрации контрольных примеров использования Системы функциональных разрывов и дополнения сценариев работы пользователей.</w:t>
      </w:r>
    </w:p>
    <w:p w14:paraId="220A208D" w14:textId="04EA18D8" w:rsidR="00586CCD" w:rsidRDefault="00586CCD" w:rsidP="00EA5FF5">
      <w:pPr>
        <w:pStyle w:val="1"/>
        <w:numPr>
          <w:ilvl w:val="0"/>
          <w:numId w:val="1"/>
        </w:numPr>
        <w:rPr>
          <w:lang w:val="ru-RU" w:eastAsia="ru-RU"/>
        </w:rPr>
      </w:pPr>
      <w:bookmarkStart w:id="14" w:name="_Toc181782207"/>
      <w:bookmarkStart w:id="15" w:name="_Toc183186418"/>
      <w:r>
        <w:rPr>
          <w:lang w:val="ru-RU" w:eastAsia="ru-RU"/>
        </w:rPr>
        <w:t>Требования к доработке Системы</w:t>
      </w:r>
      <w:bookmarkEnd w:id="14"/>
      <w:bookmarkEnd w:id="15"/>
    </w:p>
    <w:p w14:paraId="23C7D2A3" w14:textId="6A3D772A" w:rsidR="00586CCD" w:rsidRDefault="00586CCD" w:rsidP="00EA5FF5">
      <w:pPr>
        <w:pStyle w:val="2"/>
        <w:numPr>
          <w:ilvl w:val="1"/>
          <w:numId w:val="1"/>
        </w:numPr>
        <w:rPr>
          <w:lang w:val="ru-RU" w:eastAsia="ru-RU"/>
        </w:rPr>
      </w:pPr>
      <w:bookmarkStart w:id="16" w:name="_Toc181782208"/>
      <w:bookmarkStart w:id="17" w:name="_Toc183186419"/>
      <w:r>
        <w:rPr>
          <w:lang w:val="ru-RU" w:eastAsia="ru-RU"/>
        </w:rPr>
        <w:t>Перечень требований по выявленным функциональным разрывам</w:t>
      </w:r>
      <w:bookmarkEnd w:id="16"/>
      <w:bookmarkEnd w:id="17"/>
    </w:p>
    <w:tbl>
      <w:tblPr>
        <w:tblStyle w:val="-11"/>
        <w:tblW w:w="4973" w:type="pct"/>
        <w:tblLook w:val="04A0" w:firstRow="1" w:lastRow="0" w:firstColumn="1" w:lastColumn="0" w:noHBand="0" w:noVBand="1"/>
      </w:tblPr>
      <w:tblGrid>
        <w:gridCol w:w="1856"/>
        <w:gridCol w:w="7439"/>
      </w:tblGrid>
      <w:tr w:rsidR="00586CCD" w:rsidRPr="005B13A5" w14:paraId="50E31BEE" w14:textId="77777777" w:rsidTr="006B0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01032B4F" w14:textId="77777777" w:rsidR="00586CCD" w:rsidRPr="00113E45" w:rsidRDefault="00586CCD" w:rsidP="00382727">
            <w:pPr>
              <w:spacing w:before="0"/>
              <w:rPr>
                <w:lang w:val="ru-RU"/>
              </w:rPr>
            </w:pPr>
            <w:r w:rsidRPr="00113E45">
              <w:rPr>
                <w:lang w:val="ru-RU"/>
              </w:rPr>
              <w:t>№ ФТ</w:t>
            </w:r>
          </w:p>
        </w:tc>
        <w:tc>
          <w:tcPr>
            <w:tcW w:w="7439" w:type="dxa"/>
          </w:tcPr>
          <w:p w14:paraId="71A137B5" w14:textId="77777777" w:rsidR="00586CCD" w:rsidRPr="00113E45" w:rsidRDefault="00586CCD" w:rsidP="00382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13E45">
              <w:rPr>
                <w:lang w:val="ru-RU"/>
              </w:rPr>
              <w:t>Описание требования</w:t>
            </w:r>
          </w:p>
        </w:tc>
      </w:tr>
      <w:tr w:rsidR="00E90BE7" w:rsidRPr="00B822D0" w14:paraId="3CFFC87F" w14:textId="77777777" w:rsidTr="006B0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32E13BFC" w14:textId="2DE21EBA" w:rsidR="00E90BE7" w:rsidRPr="00E90BE7" w:rsidRDefault="00E90BE7" w:rsidP="00E90BE7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ФТ.01.03.02.004</w:t>
            </w:r>
          </w:p>
        </w:tc>
        <w:tc>
          <w:tcPr>
            <w:tcW w:w="7439" w:type="dxa"/>
          </w:tcPr>
          <w:p w14:paraId="05C6F709" w14:textId="3803FAFA" w:rsidR="00E90BE7" w:rsidRPr="006B021D" w:rsidRDefault="00E90BE7" w:rsidP="00E90BE7">
            <w:pPr>
              <w:pStyle w:val="af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E90BE7">
              <w:rPr>
                <w:color w:val="000000"/>
                <w:lang w:val="ru-RU"/>
              </w:rPr>
              <w:t>Система должна обеспечивать возможность ведения учета аналогов материалов и возможность регистрации замены материала на аналог при производстве.</w:t>
            </w:r>
          </w:p>
        </w:tc>
      </w:tr>
    </w:tbl>
    <w:p w14:paraId="6FC75FAB" w14:textId="2E33FDEB" w:rsidR="00E90BE7" w:rsidRDefault="00E90BE7" w:rsidP="007E53FE">
      <w:pPr>
        <w:pStyle w:val="2"/>
        <w:numPr>
          <w:ilvl w:val="1"/>
          <w:numId w:val="1"/>
        </w:numPr>
        <w:rPr>
          <w:lang w:val="ru-RU" w:eastAsia="ru-RU"/>
        </w:rPr>
      </w:pPr>
      <w:bookmarkStart w:id="18" w:name="_Toc181782209"/>
      <w:bookmarkStart w:id="19" w:name="_Toc182930698"/>
      <w:bookmarkStart w:id="20" w:name="_Toc183186420"/>
      <w:r>
        <w:rPr>
          <w:lang w:val="ru-RU" w:eastAsia="ru-RU"/>
        </w:rPr>
        <w:t>Описание реализации требований</w:t>
      </w:r>
      <w:bookmarkEnd w:id="18"/>
      <w:bookmarkEnd w:id="19"/>
      <w:bookmarkEnd w:id="20"/>
    </w:p>
    <w:p w14:paraId="1BA0E9BA" w14:textId="37F5C195" w:rsidR="00E90BE7" w:rsidRPr="00E90BE7" w:rsidRDefault="00E90BE7" w:rsidP="00E90BE7">
      <w:pPr>
        <w:rPr>
          <w:lang w:val="ru-RU" w:eastAsia="ru-RU"/>
        </w:rPr>
      </w:pPr>
      <w:r w:rsidRPr="00E90BE7">
        <w:rPr>
          <w:lang w:val="ru-RU" w:eastAsia="ru-RU"/>
        </w:rPr>
        <w:t>В разделе описывается техническое решение по требовани</w:t>
      </w:r>
      <w:r>
        <w:rPr>
          <w:lang w:val="ru-RU" w:eastAsia="ru-RU"/>
        </w:rPr>
        <w:t>ю</w:t>
      </w:r>
      <w:r w:rsidRPr="00E90BE7">
        <w:rPr>
          <w:lang w:val="ru-RU" w:eastAsia="ru-RU"/>
        </w:rPr>
        <w:t>: ФТ.01.03.02.004</w:t>
      </w:r>
      <w:r w:rsidRPr="00E90BE7">
        <w:rPr>
          <w:lang w:val="ru-RU"/>
        </w:rPr>
        <w:t>.</w:t>
      </w:r>
    </w:p>
    <w:p w14:paraId="76DD3060" w14:textId="13EDD2E3" w:rsidR="003550D3" w:rsidRPr="00D51FAE" w:rsidRDefault="00E90BE7" w:rsidP="00E90BE7">
      <w:pPr>
        <w:pStyle w:val="2"/>
        <w:numPr>
          <w:ilvl w:val="2"/>
          <w:numId w:val="1"/>
        </w:numPr>
        <w:rPr>
          <w:lang w:val="ru-RU" w:eastAsia="ru-RU"/>
        </w:rPr>
      </w:pPr>
      <w:bookmarkStart w:id="21" w:name="_Toc183186421"/>
      <w:r>
        <w:rPr>
          <w:lang w:val="ru-RU" w:eastAsia="ru-RU"/>
        </w:rPr>
        <w:t>Заполнение документа «Заказ материалов в производство»</w:t>
      </w:r>
      <w:bookmarkEnd w:id="21"/>
    </w:p>
    <w:p w14:paraId="2E990D38" w14:textId="0C2752E0" w:rsidR="00E90BE7" w:rsidRDefault="007D18E4" w:rsidP="003550D3">
      <w:pPr>
        <w:rPr>
          <w:lang w:val="ru-RU"/>
        </w:rPr>
      </w:pPr>
      <w:r>
        <w:rPr>
          <w:lang w:val="ru-RU"/>
        </w:rPr>
        <w:t>Источником данных для заполнения документа «Заказ материалов в производство» (</w:t>
      </w:r>
      <w:r w:rsidRPr="004F7971">
        <w:rPr>
          <w:lang w:val="ru-RU"/>
        </w:rPr>
        <w:t>Документ.ЗаказМатериаловВПроизводство</w:t>
      </w:r>
      <w:r>
        <w:rPr>
          <w:lang w:val="ru-RU"/>
        </w:rPr>
        <w:t xml:space="preserve">) выступает созданный и заполненный </w:t>
      </w:r>
      <w:r w:rsidR="00E90BE7" w:rsidRPr="00E90BE7">
        <w:rPr>
          <w:lang w:val="ru-RU"/>
        </w:rPr>
        <w:t xml:space="preserve">Документ «План производства» (Документ.ПланПроизводства) </w:t>
      </w:r>
      <w:r>
        <w:rPr>
          <w:lang w:val="ru-RU"/>
        </w:rPr>
        <w:t xml:space="preserve">в статусе «Утвержден», который </w:t>
      </w:r>
      <w:r w:rsidR="00E90BE7" w:rsidRPr="00E90BE7">
        <w:rPr>
          <w:lang w:val="ru-RU"/>
        </w:rPr>
        <w:t>заполн</w:t>
      </w:r>
      <w:r>
        <w:rPr>
          <w:lang w:val="ru-RU"/>
        </w:rPr>
        <w:t>ен</w:t>
      </w:r>
      <w:r w:rsidR="00E90BE7" w:rsidRPr="00E90BE7">
        <w:rPr>
          <w:lang w:val="ru-RU"/>
        </w:rPr>
        <w:t xml:space="preserve"> номенклатурой (Справочник.Номенклатура) с указанием конкретной ресурсной спецификации (Справочник.РесурсныеСпецификации)</w:t>
      </w:r>
      <w:r w:rsidR="004834CF">
        <w:rPr>
          <w:lang w:val="ru-RU"/>
        </w:rPr>
        <w:t xml:space="preserve"> (см. </w:t>
      </w:r>
      <w:r w:rsidR="004834CF">
        <w:rPr>
          <w:lang w:val="ru-RU"/>
        </w:rPr>
        <w:fldChar w:fldCharType="begin"/>
      </w:r>
      <w:r w:rsidR="004834CF">
        <w:rPr>
          <w:lang w:val="ru-RU"/>
        </w:rPr>
        <w:instrText xml:space="preserve"> REF _Ref183182649 \h </w:instrText>
      </w:r>
      <w:r w:rsidR="004834CF">
        <w:rPr>
          <w:lang w:val="ru-RU"/>
        </w:rPr>
      </w:r>
      <w:r w:rsidR="004834CF">
        <w:rPr>
          <w:lang w:val="ru-RU"/>
        </w:rPr>
        <w:fldChar w:fldCharType="separate"/>
      </w:r>
      <w:r w:rsidR="00D24883">
        <w:t xml:space="preserve">Рисунок </w:t>
      </w:r>
      <w:r w:rsidR="00D24883">
        <w:rPr>
          <w:noProof/>
        </w:rPr>
        <w:t>1</w:t>
      </w:r>
      <w:r w:rsidR="004834CF">
        <w:rPr>
          <w:lang w:val="ru-RU"/>
        </w:rPr>
        <w:fldChar w:fldCharType="end"/>
      </w:r>
      <w:r w:rsidR="004834CF">
        <w:rPr>
          <w:lang w:val="ru-RU"/>
        </w:rPr>
        <w:t>)</w:t>
      </w:r>
      <w:r w:rsidR="00E90BE7" w:rsidRPr="00E90BE7">
        <w:rPr>
          <w:lang w:val="ru-RU"/>
        </w:rPr>
        <w:t>.</w:t>
      </w:r>
    </w:p>
    <w:p w14:paraId="6B2F8702" w14:textId="77777777" w:rsidR="004834CF" w:rsidRDefault="004834CF" w:rsidP="004834CF">
      <w:pPr>
        <w:keepNext/>
      </w:pPr>
      <w:r>
        <w:rPr>
          <w:noProof/>
          <w:lang w:val="ru-RU" w:eastAsia="ru-RU"/>
        </w:rPr>
        <w:lastRenderedPageBreak/>
        <w:drawing>
          <wp:inline distT="0" distB="0" distL="0" distR="0" wp14:anchorId="3781BF8B" wp14:editId="1FBB787E">
            <wp:extent cx="5940425" cy="1981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11FD" w14:textId="0C35C538" w:rsidR="004834CF" w:rsidRDefault="004834CF" w:rsidP="004834CF">
      <w:pPr>
        <w:pStyle w:val="a4"/>
      </w:pPr>
      <w:bookmarkStart w:id="22" w:name="_Ref183182649"/>
      <w:r>
        <w:t xml:space="preserve">Рисунок </w:t>
      </w:r>
      <w:r w:rsidR="00CA05CC">
        <w:fldChar w:fldCharType="begin"/>
      </w:r>
      <w:r w:rsidR="00CA05CC">
        <w:instrText xml:space="preserve"> SEQ Рисунок \* ARABIC </w:instrText>
      </w:r>
      <w:r w:rsidR="00CA05CC">
        <w:fldChar w:fldCharType="separate"/>
      </w:r>
      <w:r w:rsidR="00D24883">
        <w:rPr>
          <w:noProof/>
        </w:rPr>
        <w:t>1</w:t>
      </w:r>
      <w:r w:rsidR="00CA05CC">
        <w:rPr>
          <w:noProof/>
        </w:rPr>
        <w:fldChar w:fldCharType="end"/>
      </w:r>
      <w:bookmarkEnd w:id="22"/>
      <w:r>
        <w:t>. Документ «План производства». Вкладка «Продукция». Перечислена номенклатура, планируемая к производству, каждой номенклатуре задана соответствующая ресурсная спецификация.</w:t>
      </w:r>
    </w:p>
    <w:p w14:paraId="22A3F00F" w14:textId="2CA6F1B4" w:rsidR="004F7971" w:rsidRDefault="004F7971" w:rsidP="003550D3">
      <w:pPr>
        <w:rPr>
          <w:lang w:val="ru-RU"/>
        </w:rPr>
      </w:pPr>
      <w:r>
        <w:rPr>
          <w:lang w:val="ru-RU"/>
        </w:rPr>
        <w:t>Документ «Заказ материалов в производство» (</w:t>
      </w:r>
      <w:r w:rsidRPr="004F7971">
        <w:rPr>
          <w:lang w:val="ru-RU"/>
        </w:rPr>
        <w:t>Документ.ЗаказМатериаловВПроизводство</w:t>
      </w:r>
      <w:r>
        <w:rPr>
          <w:lang w:val="ru-RU"/>
        </w:rPr>
        <w:t>) создается на основании документа «План производства» (</w:t>
      </w:r>
      <w:r w:rsidR="004B5C37" w:rsidRPr="004F7971">
        <w:rPr>
          <w:lang w:val="ru-RU"/>
        </w:rPr>
        <w:t>Документ.ПланПроизводства</w:t>
      </w:r>
      <w:r>
        <w:rPr>
          <w:lang w:val="ru-RU"/>
        </w:rPr>
        <w:t>) обработкой «Формирование заказов на передачу в производство по плану» (</w:t>
      </w:r>
      <w:r w:rsidRPr="004F7971">
        <w:rPr>
          <w:lang w:val="ru-RU"/>
        </w:rPr>
        <w:t>Обработка.ФормированиеЗаказовНаПередачуВПроизводствоПоПлану</w:t>
      </w:r>
      <w:r>
        <w:rPr>
          <w:lang w:val="ru-RU"/>
        </w:rPr>
        <w:t>).</w:t>
      </w:r>
    </w:p>
    <w:p w14:paraId="7B29F2FA" w14:textId="52DCD0EA" w:rsidR="007D18E4" w:rsidRDefault="007D18E4" w:rsidP="003550D3">
      <w:pPr>
        <w:rPr>
          <w:lang w:val="ru-RU"/>
        </w:rPr>
      </w:pPr>
      <w:r>
        <w:rPr>
          <w:lang w:val="ru-RU"/>
        </w:rPr>
        <w:t xml:space="preserve">Требуется доработать типовой функционал обработки «Формирование заказов на передачу в производство по плану» таким образом, чтобы при создании документа «Заказ материалов производство» номенклатура материалов добавлялась отдельными строками с указанием ресурсной спецификации </w:t>
      </w:r>
      <w:r w:rsidR="004834CF">
        <w:rPr>
          <w:lang w:val="ru-RU"/>
        </w:rPr>
        <w:t xml:space="preserve">(см. </w:t>
      </w:r>
      <w:r w:rsidR="00982B5B">
        <w:rPr>
          <w:lang w:val="ru-RU"/>
        </w:rPr>
        <w:fldChar w:fldCharType="begin"/>
      </w:r>
      <w:r w:rsidR="00982B5B">
        <w:rPr>
          <w:lang w:val="ru-RU"/>
        </w:rPr>
        <w:instrText xml:space="preserve"> REF _Ref184157690 \h </w:instrText>
      </w:r>
      <w:r w:rsidR="00982B5B">
        <w:rPr>
          <w:lang w:val="ru-RU"/>
        </w:rPr>
      </w:r>
      <w:r w:rsidR="00982B5B">
        <w:rPr>
          <w:lang w:val="ru-RU"/>
        </w:rPr>
        <w:fldChar w:fldCharType="separate"/>
      </w:r>
      <w:r w:rsidR="00982B5B" w:rsidRPr="00982B5B">
        <w:rPr>
          <w:lang w:val="ru-RU"/>
        </w:rPr>
        <w:t xml:space="preserve">Рисунок </w:t>
      </w:r>
      <w:r w:rsidR="00982B5B" w:rsidRPr="00982B5B">
        <w:rPr>
          <w:noProof/>
          <w:lang w:val="ru-RU"/>
        </w:rPr>
        <w:t>3</w:t>
      </w:r>
      <w:r w:rsidR="00982B5B">
        <w:rPr>
          <w:lang w:val="ru-RU"/>
        </w:rPr>
        <w:fldChar w:fldCharType="end"/>
      </w:r>
      <w:r w:rsidR="00982B5B">
        <w:rPr>
          <w:lang w:val="ru-RU"/>
        </w:rPr>
        <w:t>)</w:t>
      </w:r>
      <w:r w:rsidR="004834CF">
        <w:rPr>
          <w:lang w:val="ru-RU"/>
        </w:rPr>
        <w:t xml:space="preserve"> </w:t>
      </w:r>
      <w:r>
        <w:rPr>
          <w:lang w:val="ru-RU"/>
        </w:rPr>
        <w:t>в соответствии с которой была определена потребность</w:t>
      </w:r>
      <w:r w:rsidR="004834CF">
        <w:rPr>
          <w:lang w:val="ru-RU"/>
        </w:rPr>
        <w:t xml:space="preserve"> в материалах по плану производства</w:t>
      </w:r>
      <w:r>
        <w:rPr>
          <w:lang w:val="ru-RU"/>
        </w:rPr>
        <w:t>.</w:t>
      </w:r>
    </w:p>
    <w:p w14:paraId="00B8CA1E" w14:textId="075D9A6D" w:rsidR="007D18E4" w:rsidRDefault="007D18E4" w:rsidP="003550D3">
      <w:pPr>
        <w:rPr>
          <w:lang w:val="ru-RU"/>
        </w:rPr>
      </w:pPr>
      <w:r>
        <w:rPr>
          <w:lang w:val="ru-RU"/>
        </w:rPr>
        <w:t>Если номенклатура материалов в рамках одной ресурсной спецификации (</w:t>
      </w:r>
      <w:r w:rsidRPr="00E90BE7">
        <w:rPr>
          <w:lang w:val="ru-RU"/>
        </w:rPr>
        <w:t>Справочник.РесурсныеСпецификации</w:t>
      </w:r>
      <w:r>
        <w:rPr>
          <w:lang w:val="ru-RU"/>
        </w:rPr>
        <w:t>) записана отдельными строками</w:t>
      </w:r>
      <w:r w:rsidR="004834CF">
        <w:rPr>
          <w:lang w:val="ru-RU"/>
        </w:rPr>
        <w:t xml:space="preserve"> (см. </w:t>
      </w:r>
      <w:r w:rsidR="004834CF">
        <w:rPr>
          <w:lang w:val="ru-RU"/>
        </w:rPr>
        <w:fldChar w:fldCharType="begin"/>
      </w:r>
      <w:r w:rsidR="004834CF">
        <w:rPr>
          <w:lang w:val="ru-RU"/>
        </w:rPr>
        <w:instrText xml:space="preserve"> REF _Ref183182875 \h </w:instrText>
      </w:r>
      <w:r w:rsidR="004834CF">
        <w:rPr>
          <w:lang w:val="ru-RU"/>
        </w:rPr>
      </w:r>
      <w:r w:rsidR="004834CF">
        <w:rPr>
          <w:lang w:val="ru-RU"/>
        </w:rPr>
        <w:fldChar w:fldCharType="separate"/>
      </w:r>
      <w:r w:rsidR="00D24883" w:rsidRPr="00D24883">
        <w:rPr>
          <w:lang w:val="ru-RU"/>
        </w:rPr>
        <w:t xml:space="preserve">Рисунок </w:t>
      </w:r>
      <w:r w:rsidR="00D24883" w:rsidRPr="00D24883">
        <w:rPr>
          <w:noProof/>
          <w:lang w:val="ru-RU"/>
        </w:rPr>
        <w:t>2</w:t>
      </w:r>
      <w:r w:rsidR="004834CF">
        <w:rPr>
          <w:lang w:val="ru-RU"/>
        </w:rPr>
        <w:fldChar w:fldCharType="end"/>
      </w:r>
      <w:r w:rsidR="004834CF">
        <w:rPr>
          <w:lang w:val="ru-RU"/>
        </w:rPr>
        <w:t>)</w:t>
      </w:r>
      <w:r>
        <w:rPr>
          <w:lang w:val="ru-RU"/>
        </w:rPr>
        <w:t>, такие материалы следует указывать одной строкой, значение поля «Количество» - суммировать.</w:t>
      </w:r>
    </w:p>
    <w:p w14:paraId="6AC449B0" w14:textId="77777777" w:rsidR="004834CF" w:rsidRDefault="004834CF" w:rsidP="004834CF">
      <w:pPr>
        <w:keepNext/>
      </w:pPr>
      <w:r>
        <w:rPr>
          <w:noProof/>
          <w:lang w:val="ru-RU" w:eastAsia="ru-RU"/>
        </w:rPr>
        <w:drawing>
          <wp:inline distT="0" distB="0" distL="0" distR="0" wp14:anchorId="408CD5A6" wp14:editId="0EE0E410">
            <wp:extent cx="5940425" cy="21704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6258" w14:textId="5BF26040" w:rsidR="004834CF" w:rsidRDefault="004834CF" w:rsidP="004834CF">
      <w:pPr>
        <w:pStyle w:val="a4"/>
      </w:pPr>
      <w:bookmarkStart w:id="23" w:name="_Ref183182875"/>
      <w:r>
        <w:t xml:space="preserve">Рисунок </w:t>
      </w:r>
      <w:r w:rsidR="00CA05CC">
        <w:fldChar w:fldCharType="begin"/>
      </w:r>
      <w:r w:rsidR="00CA05CC">
        <w:instrText xml:space="preserve"> SEQ Рисунок \* </w:instrText>
      </w:r>
      <w:r w:rsidR="00CA05CC">
        <w:instrText xml:space="preserve">ARABIC </w:instrText>
      </w:r>
      <w:r w:rsidR="00CA05CC">
        <w:fldChar w:fldCharType="separate"/>
      </w:r>
      <w:r w:rsidR="00D24883">
        <w:rPr>
          <w:noProof/>
        </w:rPr>
        <w:t>2</w:t>
      </w:r>
      <w:r w:rsidR="00CA05CC">
        <w:rPr>
          <w:noProof/>
        </w:rPr>
        <w:fldChar w:fldCharType="end"/>
      </w:r>
      <w:bookmarkEnd w:id="23"/>
      <w:r>
        <w:t>. Элемент справочника «Ресурсные спецификации». Вкладка «Материалы и работ». Добавлены две строки с одинаковой номенклатурой.</w:t>
      </w:r>
    </w:p>
    <w:p w14:paraId="47729148" w14:textId="0AA9814D" w:rsidR="00E90BE7" w:rsidRDefault="004834CF" w:rsidP="00E90BE7">
      <w:pPr>
        <w:pStyle w:val="2"/>
        <w:numPr>
          <w:ilvl w:val="2"/>
          <w:numId w:val="1"/>
        </w:numPr>
        <w:rPr>
          <w:lang w:val="ru-RU"/>
        </w:rPr>
      </w:pPr>
      <w:bookmarkStart w:id="24" w:name="_Toc183186422"/>
      <w:r>
        <w:rPr>
          <w:lang w:val="ru-RU"/>
        </w:rPr>
        <w:t>Указание ресурсной спецификации в документе «Заказ материалов в производство»</w:t>
      </w:r>
      <w:bookmarkEnd w:id="24"/>
    </w:p>
    <w:p w14:paraId="629C6FC8" w14:textId="77777777" w:rsidR="004B5C37" w:rsidRDefault="004834CF" w:rsidP="004834CF">
      <w:pPr>
        <w:rPr>
          <w:lang w:val="ru-RU"/>
        </w:rPr>
      </w:pPr>
      <w:r>
        <w:rPr>
          <w:lang w:val="ru-RU"/>
        </w:rPr>
        <w:t>В табличной части вкладки «Материалы» документа «Заказ материалов в производство»</w:t>
      </w:r>
      <w:r w:rsidRPr="004834CF">
        <w:rPr>
          <w:lang w:val="ru-RU"/>
        </w:rPr>
        <w:t xml:space="preserve"> </w:t>
      </w:r>
      <w:r>
        <w:rPr>
          <w:lang w:val="ru-RU"/>
        </w:rPr>
        <w:t>(</w:t>
      </w:r>
      <w:r w:rsidRPr="004834CF">
        <w:rPr>
          <w:lang w:val="ru-RU"/>
        </w:rPr>
        <w:t>Документ.ЗаказМатериаловВПроизводство</w:t>
      </w:r>
      <w:r>
        <w:rPr>
          <w:lang w:val="ru-RU"/>
        </w:rPr>
        <w:t>) необходимо добавить столбец «Ресурсная спецификация».</w:t>
      </w:r>
    </w:p>
    <w:p w14:paraId="54432760" w14:textId="77777777" w:rsidR="004B5C37" w:rsidRDefault="004B5C37" w:rsidP="004B5C37">
      <w:pPr>
        <w:keepNext/>
      </w:pPr>
      <w:r>
        <w:rPr>
          <w:noProof/>
          <w:lang w:val="ru-RU" w:eastAsia="ru-RU"/>
        </w:rPr>
        <w:lastRenderedPageBreak/>
        <w:drawing>
          <wp:inline distT="0" distB="0" distL="0" distR="0" wp14:anchorId="278B3B9F" wp14:editId="4652C2D2">
            <wp:extent cx="5940425" cy="344170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6BC3" w14:textId="2319F7BB" w:rsidR="004B5C37" w:rsidRDefault="004B5C37" w:rsidP="004B5C37">
      <w:pPr>
        <w:pStyle w:val="a4"/>
      </w:pPr>
      <w:bookmarkStart w:id="25" w:name="_Ref184157690"/>
      <w:r>
        <w:t xml:space="preserve">Рисунок </w:t>
      </w:r>
      <w:r w:rsidR="00CA05CC">
        <w:fldChar w:fldCharType="begin"/>
      </w:r>
      <w:r w:rsidR="00CA05CC">
        <w:instrText xml:space="preserve"> SEQ Рисунок \* ARABIC </w:instrText>
      </w:r>
      <w:r w:rsidR="00CA05CC">
        <w:fldChar w:fldCharType="separate"/>
      </w:r>
      <w:r w:rsidR="00D24883">
        <w:rPr>
          <w:noProof/>
        </w:rPr>
        <w:t>3</w:t>
      </w:r>
      <w:r w:rsidR="00CA05CC">
        <w:rPr>
          <w:noProof/>
        </w:rPr>
        <w:fldChar w:fldCharType="end"/>
      </w:r>
      <w:bookmarkEnd w:id="25"/>
      <w:r>
        <w:t>. Документ «Заказ материалов в производство». Вкладка «Материалы». Предполагаемое расположение столбца «Ресурсная спецификация».</w:t>
      </w:r>
    </w:p>
    <w:p w14:paraId="23D227CA" w14:textId="7E85DF69" w:rsidR="004834CF" w:rsidRDefault="004834CF" w:rsidP="004834CF">
      <w:pPr>
        <w:rPr>
          <w:lang w:val="ru-RU"/>
        </w:rPr>
      </w:pPr>
      <w:r>
        <w:rPr>
          <w:lang w:val="ru-RU"/>
        </w:rPr>
        <w:t>В ячейках столбца «Ресурсная спецификация» должна быть указана ресурсная спецификация (</w:t>
      </w:r>
      <w:r w:rsidR="004B5C37" w:rsidRPr="00E90BE7">
        <w:rPr>
          <w:lang w:val="ru-RU"/>
        </w:rPr>
        <w:t>Справочник.РесурсныеСпецификации</w:t>
      </w:r>
      <w:r>
        <w:rPr>
          <w:lang w:val="ru-RU"/>
        </w:rPr>
        <w:t>)</w:t>
      </w:r>
      <w:r w:rsidR="004B5C37">
        <w:rPr>
          <w:lang w:val="ru-RU"/>
        </w:rPr>
        <w:t xml:space="preserve"> из которой был подобран материал по потребности сформированной документом «План производства» (</w:t>
      </w:r>
      <w:r w:rsidR="004B5C37" w:rsidRPr="004F7971">
        <w:rPr>
          <w:lang w:val="ru-RU"/>
        </w:rPr>
        <w:t>Документ.ПланПроизводства</w:t>
      </w:r>
      <w:r w:rsidR="00820E23">
        <w:rPr>
          <w:lang w:val="ru-RU"/>
        </w:rPr>
        <w:t>).</w:t>
      </w:r>
    </w:p>
    <w:p w14:paraId="7DF39576" w14:textId="498D0D22" w:rsidR="00820E23" w:rsidRDefault="00820E23" w:rsidP="004834CF">
      <w:pPr>
        <w:rPr>
          <w:lang w:val="ru-RU"/>
        </w:rPr>
      </w:pPr>
      <w:r>
        <w:rPr>
          <w:lang w:val="ru-RU"/>
        </w:rPr>
        <w:t>Нужно переработать документ «Заказ материалов в производство», формирующееся на основании обработки «Формирование заказов материалов в производство по плану», таким образом, чтобы разворачивать полуфабрикаты до составных материалов, основываясь на основной действующей спецификации.</w:t>
      </w:r>
      <w:bookmarkStart w:id="26" w:name="_GoBack"/>
      <w:bookmarkEnd w:id="26"/>
    </w:p>
    <w:p w14:paraId="19364D86" w14:textId="3982A09A" w:rsidR="004B5C37" w:rsidRDefault="004B5C37" w:rsidP="004834CF">
      <w:pPr>
        <w:rPr>
          <w:lang w:val="ru-RU"/>
        </w:rPr>
      </w:pPr>
      <w:r>
        <w:rPr>
          <w:lang w:val="ru-RU"/>
        </w:rPr>
        <w:t>Необходимо обеспечить возможность, при необходимости, открыть элемент справочника «Ресурсные спецификации» из поля столбца «Ресурсная спецификация»</w:t>
      </w:r>
      <w:r w:rsidR="00DC3119">
        <w:rPr>
          <w:lang w:val="ru-RU"/>
        </w:rPr>
        <w:t xml:space="preserve"> (см. </w:t>
      </w:r>
      <w:r w:rsidR="00DC3119">
        <w:rPr>
          <w:lang w:val="ru-RU"/>
        </w:rPr>
        <w:fldChar w:fldCharType="begin"/>
      </w:r>
      <w:r w:rsidR="00DC3119">
        <w:rPr>
          <w:lang w:val="ru-RU"/>
        </w:rPr>
        <w:instrText xml:space="preserve"> REF _Ref183186407 \h </w:instrText>
      </w:r>
      <w:r w:rsidR="00DC3119">
        <w:rPr>
          <w:lang w:val="ru-RU"/>
        </w:rPr>
      </w:r>
      <w:r w:rsidR="00DC3119">
        <w:rPr>
          <w:lang w:val="ru-RU"/>
        </w:rPr>
        <w:fldChar w:fldCharType="separate"/>
      </w:r>
      <w:r w:rsidR="00D24883" w:rsidRPr="00820E23">
        <w:rPr>
          <w:lang w:val="ru-RU"/>
        </w:rPr>
        <w:t xml:space="preserve">Рисунок </w:t>
      </w:r>
      <w:r w:rsidR="00D24883" w:rsidRPr="00820E23">
        <w:rPr>
          <w:noProof/>
          <w:lang w:val="ru-RU"/>
        </w:rPr>
        <w:t>4</w:t>
      </w:r>
      <w:r w:rsidR="00DC3119">
        <w:rPr>
          <w:lang w:val="ru-RU"/>
        </w:rPr>
        <w:fldChar w:fldCharType="end"/>
      </w:r>
      <w:r w:rsidR="00DC3119">
        <w:rPr>
          <w:lang w:val="ru-RU"/>
        </w:rPr>
        <w:t>)</w:t>
      </w:r>
      <w:r>
        <w:rPr>
          <w:lang w:val="ru-RU"/>
        </w:rPr>
        <w:t>.</w:t>
      </w:r>
    </w:p>
    <w:p w14:paraId="45181867" w14:textId="77777777" w:rsidR="00DC3119" w:rsidRDefault="00DC3119" w:rsidP="00DC3119">
      <w:pPr>
        <w:keepNext/>
      </w:pPr>
      <w:r>
        <w:rPr>
          <w:noProof/>
          <w:lang w:val="ru-RU" w:eastAsia="ru-RU"/>
        </w:rPr>
        <w:drawing>
          <wp:inline distT="0" distB="0" distL="0" distR="0" wp14:anchorId="2169C599" wp14:editId="53C0C6CF">
            <wp:extent cx="3070904" cy="63726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0938" cy="65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B9609" w14:textId="50E2D0A1" w:rsidR="00DC3119" w:rsidRPr="004834CF" w:rsidRDefault="00DC3119" w:rsidP="00DC3119">
      <w:pPr>
        <w:pStyle w:val="a4"/>
      </w:pPr>
      <w:bookmarkStart w:id="27" w:name="_Ref183186407"/>
      <w:r>
        <w:t xml:space="preserve">Рисунок </w:t>
      </w:r>
      <w:r w:rsidR="00CA05CC">
        <w:fldChar w:fldCharType="begin"/>
      </w:r>
      <w:r w:rsidR="00CA05CC">
        <w:instrText xml:space="preserve"> SEQ Рисунок \* ARABIC </w:instrText>
      </w:r>
      <w:r w:rsidR="00CA05CC">
        <w:fldChar w:fldCharType="separate"/>
      </w:r>
      <w:r w:rsidR="00D24883">
        <w:rPr>
          <w:noProof/>
        </w:rPr>
        <w:t>4</w:t>
      </w:r>
      <w:r w:rsidR="00CA05CC">
        <w:rPr>
          <w:noProof/>
        </w:rPr>
        <w:fldChar w:fldCharType="end"/>
      </w:r>
      <w:bookmarkEnd w:id="27"/>
      <w:r>
        <w:t>. Пример функции «Открыть» в ячейке табличной части документа «Заказ материалов в производство».</w:t>
      </w:r>
    </w:p>
    <w:p w14:paraId="77AAFC63" w14:textId="58FC4979" w:rsidR="007D18E4" w:rsidRPr="004F7971" w:rsidRDefault="007D18E4" w:rsidP="007D18E4">
      <w:pPr>
        <w:pStyle w:val="2"/>
        <w:numPr>
          <w:ilvl w:val="2"/>
          <w:numId w:val="1"/>
        </w:numPr>
        <w:rPr>
          <w:lang w:val="ru-RU"/>
        </w:rPr>
      </w:pPr>
      <w:bookmarkStart w:id="28" w:name="_Toc183186423"/>
      <w:r>
        <w:rPr>
          <w:lang w:val="ru-RU"/>
        </w:rPr>
        <w:t>Разрешения на замену материалов</w:t>
      </w:r>
      <w:bookmarkEnd w:id="28"/>
    </w:p>
    <w:p w14:paraId="51216CC0" w14:textId="44EE403D" w:rsidR="00D86CC8" w:rsidRDefault="007E0A3D" w:rsidP="002962D2">
      <w:pPr>
        <w:tabs>
          <w:tab w:val="left" w:pos="7190"/>
        </w:tabs>
        <w:rPr>
          <w:lang w:val="ru-RU" w:eastAsia="ru-RU"/>
        </w:rPr>
      </w:pPr>
      <w:r>
        <w:rPr>
          <w:lang w:val="ru-RU" w:eastAsia="ru-RU"/>
        </w:rPr>
        <w:t>В документе «</w:t>
      </w:r>
      <w:r w:rsidR="000E1C27">
        <w:rPr>
          <w:lang w:val="ru-RU" w:eastAsia="ru-RU"/>
        </w:rPr>
        <w:t>Заказ материалов в производство</w:t>
      </w:r>
      <w:r>
        <w:rPr>
          <w:lang w:val="ru-RU" w:eastAsia="ru-RU"/>
        </w:rPr>
        <w:t>» (</w:t>
      </w:r>
      <w:r w:rsidRPr="007E0A3D">
        <w:rPr>
          <w:lang w:val="ru-RU" w:eastAsia="ru-RU"/>
        </w:rPr>
        <w:t>Документ.ЗаказМатериаловВПроизводство</w:t>
      </w:r>
      <w:r>
        <w:rPr>
          <w:lang w:val="ru-RU" w:eastAsia="ru-RU"/>
        </w:rPr>
        <w:t>) типовым функционалом предусмотрена возможность работы с подбором аналогов</w:t>
      </w:r>
      <w:r w:rsidR="00EE0668">
        <w:rPr>
          <w:lang w:val="ru-RU" w:eastAsia="ru-RU"/>
        </w:rPr>
        <w:t xml:space="preserve"> (см. </w:t>
      </w:r>
      <w:r w:rsidR="005B7DA6">
        <w:rPr>
          <w:lang w:val="ru-RU" w:eastAsia="ru-RU"/>
        </w:rPr>
        <w:fldChar w:fldCharType="begin"/>
      </w:r>
      <w:r w:rsidR="005B7DA6">
        <w:rPr>
          <w:lang w:val="ru-RU" w:eastAsia="ru-RU"/>
        </w:rPr>
        <w:instrText xml:space="preserve"> REF _Ref183168580 \h </w:instrText>
      </w:r>
      <w:r w:rsidR="005B7DA6">
        <w:rPr>
          <w:lang w:val="ru-RU" w:eastAsia="ru-RU"/>
        </w:rPr>
      </w:r>
      <w:r w:rsidR="005B7DA6">
        <w:rPr>
          <w:lang w:val="ru-RU" w:eastAsia="ru-RU"/>
        </w:rPr>
        <w:fldChar w:fldCharType="separate"/>
      </w:r>
      <w:r w:rsidR="00D24883">
        <w:t xml:space="preserve">Рисунок </w:t>
      </w:r>
      <w:r w:rsidR="00D24883">
        <w:rPr>
          <w:noProof/>
        </w:rPr>
        <w:t>5</w:t>
      </w:r>
      <w:r w:rsidR="005B7DA6">
        <w:rPr>
          <w:lang w:val="ru-RU" w:eastAsia="ru-RU"/>
        </w:rPr>
        <w:fldChar w:fldCharType="end"/>
      </w:r>
      <w:r w:rsidR="00EE0668">
        <w:rPr>
          <w:lang w:val="ru-RU" w:eastAsia="ru-RU"/>
        </w:rPr>
        <w:t>)</w:t>
      </w:r>
      <w:r>
        <w:rPr>
          <w:lang w:val="ru-RU" w:eastAsia="ru-RU"/>
        </w:rPr>
        <w:t>.</w:t>
      </w:r>
      <w:r w:rsidR="00D86CC8">
        <w:rPr>
          <w:lang w:val="ru-RU" w:eastAsia="ru-RU"/>
        </w:rPr>
        <w:t xml:space="preserve"> В качестве доступных к применению документов «Разрешение на замену</w:t>
      </w:r>
      <w:r w:rsidR="00B02CEA">
        <w:rPr>
          <w:lang w:val="ru-RU" w:eastAsia="ru-RU"/>
        </w:rPr>
        <w:t xml:space="preserve"> материалов</w:t>
      </w:r>
      <w:r w:rsidR="00D86CC8">
        <w:rPr>
          <w:lang w:val="ru-RU" w:eastAsia="ru-RU"/>
        </w:rPr>
        <w:t>»</w:t>
      </w:r>
      <w:r w:rsidR="00D86CC8" w:rsidRPr="000E1C27">
        <w:rPr>
          <w:lang w:val="ru-RU" w:eastAsia="ru-RU"/>
        </w:rPr>
        <w:t xml:space="preserve"> (Документ.РазрешениеНаЗаменуМатериалов)</w:t>
      </w:r>
      <w:r w:rsidR="000E1C27" w:rsidRPr="000E1C27">
        <w:rPr>
          <w:lang w:val="ru-RU" w:eastAsia="ru-RU"/>
        </w:rPr>
        <w:t xml:space="preserve"> </w:t>
      </w:r>
      <w:r w:rsidR="000E1C27">
        <w:rPr>
          <w:lang w:val="ru-RU" w:eastAsia="ru-RU"/>
        </w:rPr>
        <w:t xml:space="preserve">в документе «Заказ материалов в производство» </w:t>
      </w:r>
      <w:r w:rsidR="00EE0668">
        <w:rPr>
          <w:lang w:val="ru-RU" w:eastAsia="ru-RU"/>
        </w:rPr>
        <w:t>в типовом функционале доступны только те, у которых не ограничен</w:t>
      </w:r>
      <w:r w:rsidR="005B7DA6">
        <w:rPr>
          <w:lang w:val="ru-RU" w:eastAsia="ru-RU"/>
        </w:rPr>
        <w:t>а</w:t>
      </w:r>
      <w:r w:rsidR="00EE0668">
        <w:rPr>
          <w:lang w:val="ru-RU" w:eastAsia="ru-RU"/>
        </w:rPr>
        <w:t xml:space="preserve"> </w:t>
      </w:r>
      <w:r w:rsidR="005B7DA6">
        <w:rPr>
          <w:lang w:val="ru-RU" w:eastAsia="ru-RU"/>
        </w:rPr>
        <w:t xml:space="preserve">область </w:t>
      </w:r>
      <w:r w:rsidR="00EE0668">
        <w:rPr>
          <w:lang w:val="ru-RU" w:eastAsia="ru-RU"/>
        </w:rPr>
        <w:t>действи</w:t>
      </w:r>
      <w:r w:rsidR="005B7DA6">
        <w:rPr>
          <w:lang w:val="ru-RU" w:eastAsia="ru-RU"/>
        </w:rPr>
        <w:t>я</w:t>
      </w:r>
      <w:r w:rsidR="00EE0668">
        <w:rPr>
          <w:lang w:val="ru-RU" w:eastAsia="ru-RU"/>
        </w:rPr>
        <w:t xml:space="preserve"> (Действие: По предприятию в целом, см. </w:t>
      </w:r>
      <w:r w:rsidR="005B7DA6">
        <w:rPr>
          <w:lang w:val="ru-RU" w:eastAsia="ru-RU"/>
        </w:rPr>
        <w:fldChar w:fldCharType="begin"/>
      </w:r>
      <w:r w:rsidR="005B7DA6">
        <w:rPr>
          <w:lang w:val="ru-RU" w:eastAsia="ru-RU"/>
        </w:rPr>
        <w:instrText xml:space="preserve"> REF _Ref183168596 \h </w:instrText>
      </w:r>
      <w:r w:rsidR="005B7DA6">
        <w:rPr>
          <w:lang w:val="ru-RU" w:eastAsia="ru-RU"/>
        </w:rPr>
      </w:r>
      <w:r w:rsidR="005B7DA6">
        <w:rPr>
          <w:lang w:val="ru-RU" w:eastAsia="ru-RU"/>
        </w:rPr>
        <w:fldChar w:fldCharType="separate"/>
      </w:r>
      <w:r w:rsidR="00D24883">
        <w:t xml:space="preserve">Рисунок </w:t>
      </w:r>
      <w:r w:rsidR="00D24883">
        <w:rPr>
          <w:noProof/>
        </w:rPr>
        <w:t>6</w:t>
      </w:r>
      <w:r w:rsidR="005B7DA6">
        <w:rPr>
          <w:lang w:val="ru-RU" w:eastAsia="ru-RU"/>
        </w:rPr>
        <w:fldChar w:fldCharType="end"/>
      </w:r>
      <w:r w:rsidR="00EE0668">
        <w:rPr>
          <w:lang w:val="ru-RU" w:eastAsia="ru-RU"/>
        </w:rPr>
        <w:t>).</w:t>
      </w:r>
    </w:p>
    <w:p w14:paraId="79B266E0" w14:textId="77777777" w:rsidR="00EE0668" w:rsidRDefault="00EE0668" w:rsidP="00EE0668">
      <w:pPr>
        <w:keepNext/>
        <w:tabs>
          <w:tab w:val="left" w:pos="7190"/>
        </w:tabs>
      </w:pPr>
      <w:r>
        <w:rPr>
          <w:noProof/>
          <w:lang w:val="ru-RU" w:eastAsia="ru-RU"/>
        </w:rPr>
        <w:lastRenderedPageBreak/>
        <w:drawing>
          <wp:inline distT="0" distB="0" distL="0" distR="0" wp14:anchorId="4F83597F" wp14:editId="7830C3D4">
            <wp:extent cx="5940425" cy="34436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9C65" w14:textId="5A80C130" w:rsidR="00EE0668" w:rsidRDefault="00EE0668" w:rsidP="00EE0668">
      <w:pPr>
        <w:pStyle w:val="a4"/>
      </w:pPr>
      <w:bookmarkStart w:id="29" w:name="_Ref183168580"/>
      <w:r>
        <w:t xml:space="preserve">Рисунок </w:t>
      </w:r>
      <w:r w:rsidR="00CA05CC">
        <w:fldChar w:fldCharType="begin"/>
      </w:r>
      <w:r w:rsidR="00CA05CC">
        <w:instrText xml:space="preserve"> SEQ Рисунок \* ARABIC </w:instrText>
      </w:r>
      <w:r w:rsidR="00CA05CC">
        <w:fldChar w:fldCharType="separate"/>
      </w:r>
      <w:r w:rsidR="00D24883">
        <w:rPr>
          <w:noProof/>
        </w:rPr>
        <w:t>5</w:t>
      </w:r>
      <w:r w:rsidR="00CA05CC">
        <w:rPr>
          <w:noProof/>
        </w:rPr>
        <w:fldChar w:fldCharType="end"/>
      </w:r>
      <w:bookmarkEnd w:id="29"/>
      <w:r>
        <w:t>. Документ «Заказ материалов в производство». Форма «Замена материалов аналогами». Выделены ссылки на доступные к выбору документы «Разрешение на замену материалов».</w:t>
      </w:r>
    </w:p>
    <w:p w14:paraId="5A1315B7" w14:textId="77777777" w:rsidR="00EE0668" w:rsidRDefault="00EE0668" w:rsidP="00EE0668">
      <w:pPr>
        <w:keepNext/>
      </w:pPr>
      <w:r>
        <w:rPr>
          <w:noProof/>
          <w:lang w:val="ru-RU" w:eastAsia="ru-RU"/>
        </w:rPr>
        <w:drawing>
          <wp:inline distT="0" distB="0" distL="0" distR="0" wp14:anchorId="6FE34F16" wp14:editId="7B07EC1A">
            <wp:extent cx="5940425" cy="20593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D308E" w14:textId="7243E424" w:rsidR="00EE0668" w:rsidRPr="00EE0668" w:rsidRDefault="00EE0668" w:rsidP="00EE0668">
      <w:pPr>
        <w:pStyle w:val="a4"/>
      </w:pPr>
      <w:bookmarkStart w:id="30" w:name="_Ref183168596"/>
      <w:r>
        <w:t xml:space="preserve">Рисунок </w:t>
      </w:r>
      <w:r w:rsidR="00CA05CC">
        <w:fldChar w:fldCharType="begin"/>
      </w:r>
      <w:r w:rsidR="00CA05CC">
        <w:instrText xml:space="preserve"> SEQ Рисунок \* ARABIC </w:instrText>
      </w:r>
      <w:r w:rsidR="00CA05CC">
        <w:fldChar w:fldCharType="separate"/>
      </w:r>
      <w:r w:rsidR="00D24883">
        <w:rPr>
          <w:noProof/>
        </w:rPr>
        <w:t>6</w:t>
      </w:r>
      <w:r w:rsidR="00CA05CC">
        <w:rPr>
          <w:noProof/>
        </w:rPr>
        <w:fldChar w:fldCharType="end"/>
      </w:r>
      <w:bookmarkEnd w:id="30"/>
      <w:r>
        <w:t>. Документ «Разрешение на замену материалов». Действие документа не ограничено, разрешение в соответствии с документом разрешено по предприятию в целом.</w:t>
      </w:r>
    </w:p>
    <w:p w14:paraId="790F70F0" w14:textId="0A30D6B3" w:rsidR="002D20D4" w:rsidRDefault="00D86CC8" w:rsidP="002962D2">
      <w:pPr>
        <w:tabs>
          <w:tab w:val="left" w:pos="7190"/>
        </w:tabs>
        <w:rPr>
          <w:lang w:val="ru-RU" w:eastAsia="ru-RU"/>
        </w:rPr>
      </w:pPr>
      <w:r>
        <w:rPr>
          <w:lang w:val="ru-RU" w:eastAsia="ru-RU"/>
        </w:rPr>
        <w:t>Требуется дообработать типовой функционал</w:t>
      </w:r>
      <w:r w:rsidR="007E0A3D">
        <w:rPr>
          <w:lang w:val="ru-RU" w:eastAsia="ru-RU"/>
        </w:rPr>
        <w:t xml:space="preserve"> </w:t>
      </w:r>
      <w:r w:rsidR="00B02CEA">
        <w:rPr>
          <w:lang w:val="ru-RU" w:eastAsia="ru-RU"/>
        </w:rPr>
        <w:t>таким образом, чтобы в списке доступных к применению разрешений были добавлены документы «Разрешение на замену материалов», область действия которых</w:t>
      </w:r>
      <w:r w:rsidR="004B5C37">
        <w:rPr>
          <w:lang w:val="ru-RU" w:eastAsia="ru-RU"/>
        </w:rPr>
        <w:t xml:space="preserve"> (см. </w:t>
      </w:r>
      <w:r w:rsidR="004B5C37">
        <w:rPr>
          <w:lang w:val="ru-RU" w:eastAsia="ru-RU"/>
        </w:rPr>
        <w:fldChar w:fldCharType="begin"/>
      </w:r>
      <w:r w:rsidR="004B5C37">
        <w:rPr>
          <w:lang w:val="ru-RU" w:eastAsia="ru-RU"/>
        </w:rPr>
        <w:instrText xml:space="preserve"> REF _Ref183168331 \h </w:instrText>
      </w:r>
      <w:r w:rsidR="004B5C37">
        <w:rPr>
          <w:lang w:val="ru-RU" w:eastAsia="ru-RU"/>
        </w:rPr>
      </w:r>
      <w:r w:rsidR="004B5C37">
        <w:rPr>
          <w:lang w:val="ru-RU" w:eastAsia="ru-RU"/>
        </w:rPr>
        <w:fldChar w:fldCharType="separate"/>
      </w:r>
      <w:r w:rsidR="00D24883" w:rsidRPr="00D24883">
        <w:rPr>
          <w:lang w:val="ru-RU"/>
        </w:rPr>
        <w:t xml:space="preserve">Рисунок </w:t>
      </w:r>
      <w:r w:rsidR="00D24883" w:rsidRPr="00D24883">
        <w:rPr>
          <w:noProof/>
          <w:lang w:val="ru-RU"/>
        </w:rPr>
        <w:t>7</w:t>
      </w:r>
      <w:r w:rsidR="004B5C37">
        <w:rPr>
          <w:lang w:val="ru-RU" w:eastAsia="ru-RU"/>
        </w:rPr>
        <w:fldChar w:fldCharType="end"/>
      </w:r>
      <w:r w:rsidR="004B5C37">
        <w:rPr>
          <w:lang w:val="ru-RU" w:eastAsia="ru-RU"/>
        </w:rPr>
        <w:t>)</w:t>
      </w:r>
      <w:r w:rsidR="00B02CEA">
        <w:rPr>
          <w:lang w:val="ru-RU" w:eastAsia="ru-RU"/>
        </w:rPr>
        <w:t xml:space="preserve"> </w:t>
      </w:r>
      <w:r w:rsidR="004B5C37">
        <w:rPr>
          <w:lang w:val="ru-RU" w:eastAsia="ru-RU"/>
        </w:rPr>
        <w:t>распространяется на ресурсную спецификацию указанную в поле столбца «Ресурсная спецификация» документа «Заказ материалов в производство»</w:t>
      </w:r>
      <w:r w:rsidR="00B02CEA">
        <w:rPr>
          <w:lang w:val="ru-RU" w:eastAsia="ru-RU"/>
        </w:rPr>
        <w:t>.</w:t>
      </w:r>
    </w:p>
    <w:p w14:paraId="34CF5D7C" w14:textId="77777777" w:rsidR="00B02CEA" w:rsidRDefault="00B02CEA" w:rsidP="00B02CEA">
      <w:pPr>
        <w:keepNext/>
        <w:tabs>
          <w:tab w:val="left" w:pos="7190"/>
        </w:tabs>
      </w:pPr>
      <w:r>
        <w:rPr>
          <w:noProof/>
          <w:lang w:val="ru-RU" w:eastAsia="ru-RU"/>
        </w:rPr>
        <w:lastRenderedPageBreak/>
        <w:drawing>
          <wp:inline distT="0" distB="0" distL="0" distR="0" wp14:anchorId="0CD2A940" wp14:editId="4BBF1830">
            <wp:extent cx="5940425" cy="21507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8D77" w14:textId="30818305" w:rsidR="00B02CEA" w:rsidRDefault="00B02CEA" w:rsidP="00B02CEA">
      <w:pPr>
        <w:pStyle w:val="a4"/>
      </w:pPr>
      <w:bookmarkStart w:id="31" w:name="_Ref183168331"/>
      <w:r>
        <w:t xml:space="preserve">Рисунок </w:t>
      </w:r>
      <w:r w:rsidR="00CA05CC">
        <w:fldChar w:fldCharType="begin"/>
      </w:r>
      <w:r w:rsidR="00CA05CC">
        <w:instrText xml:space="preserve"> SEQ Рисунок \* ARABIC </w:instrText>
      </w:r>
      <w:r w:rsidR="00CA05CC">
        <w:fldChar w:fldCharType="separate"/>
      </w:r>
      <w:r w:rsidR="00D24883">
        <w:rPr>
          <w:noProof/>
        </w:rPr>
        <w:t>7</w:t>
      </w:r>
      <w:r w:rsidR="00CA05CC">
        <w:rPr>
          <w:noProof/>
        </w:rPr>
        <w:fldChar w:fldCharType="end"/>
      </w:r>
      <w:bookmarkEnd w:id="31"/>
      <w:r>
        <w:t>. Документ «Разрешение на замену материалов». Вкладка «Основное». Область действия документа ограничена по изделию с указанием конкретной спецификации.</w:t>
      </w:r>
    </w:p>
    <w:p w14:paraId="573A29CE" w14:textId="2770E2B0" w:rsidR="00586CCD" w:rsidRDefault="00586CCD" w:rsidP="003550D3">
      <w:pPr>
        <w:pStyle w:val="1"/>
        <w:numPr>
          <w:ilvl w:val="0"/>
          <w:numId w:val="1"/>
        </w:numPr>
        <w:rPr>
          <w:lang w:val="ru-RU" w:eastAsia="ru-RU"/>
        </w:rPr>
      </w:pPr>
      <w:bookmarkStart w:id="32" w:name="_Toc181782210"/>
      <w:bookmarkStart w:id="33" w:name="_Toc183186424"/>
      <w:r>
        <w:rPr>
          <w:lang w:val="ru-RU" w:eastAsia="ru-RU"/>
        </w:rPr>
        <w:t>Требования к документации</w:t>
      </w:r>
      <w:bookmarkEnd w:id="32"/>
      <w:bookmarkEnd w:id="33"/>
    </w:p>
    <w:p w14:paraId="796769B2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Программная документация на Систему в целом представлена компанией 1С и доступна пользователям в открытых источниках и по подписке на ИТС.</w:t>
      </w:r>
    </w:p>
    <w:p w14:paraId="5AD965CB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Программная документация по доработкам Системы, описанным в настоящем ЧТЗ, должна содержать:</w:t>
      </w:r>
    </w:p>
    <w:p w14:paraId="19A1D8E5" w14:textId="1CDEB2E6" w:rsidR="00717784" w:rsidRPr="00717784" w:rsidRDefault="00717784" w:rsidP="00717784">
      <w:pPr>
        <w:pStyle w:val="ab"/>
        <w:numPr>
          <w:ilvl w:val="0"/>
          <w:numId w:val="20"/>
        </w:numPr>
        <w:rPr>
          <w:lang w:val="ru-RU" w:eastAsia="ru-RU"/>
        </w:rPr>
      </w:pPr>
      <w:r w:rsidRPr="00717784">
        <w:rPr>
          <w:lang w:val="ru-RU" w:eastAsia="ru-RU"/>
        </w:rPr>
        <w:t>руководство пользователя Системы;</w:t>
      </w:r>
    </w:p>
    <w:p w14:paraId="3AB699C9" w14:textId="2E974DB6" w:rsidR="00717784" w:rsidRPr="00717784" w:rsidRDefault="00717784" w:rsidP="00717784">
      <w:pPr>
        <w:pStyle w:val="ab"/>
        <w:numPr>
          <w:ilvl w:val="0"/>
          <w:numId w:val="20"/>
        </w:numPr>
        <w:rPr>
          <w:lang w:val="ru-RU" w:eastAsia="ru-RU"/>
        </w:rPr>
      </w:pPr>
      <w:r w:rsidRPr="00717784">
        <w:rPr>
          <w:lang w:val="ru-RU" w:eastAsia="ru-RU"/>
        </w:rPr>
        <w:t>руководство администратора Системы (при необходимости);</w:t>
      </w:r>
    </w:p>
    <w:p w14:paraId="67F8D918" w14:textId="269B71DD" w:rsidR="00717784" w:rsidRPr="00717784" w:rsidRDefault="00717784" w:rsidP="00717784">
      <w:pPr>
        <w:pStyle w:val="ab"/>
        <w:numPr>
          <w:ilvl w:val="0"/>
          <w:numId w:val="20"/>
        </w:numPr>
        <w:rPr>
          <w:lang w:val="ru-RU" w:eastAsia="ru-RU"/>
        </w:rPr>
      </w:pPr>
      <w:r w:rsidRPr="00717784">
        <w:rPr>
          <w:lang w:val="ru-RU" w:eastAsia="ru-RU"/>
        </w:rPr>
        <w:t>программу и методику испытаний Системы.</w:t>
      </w:r>
    </w:p>
    <w:p w14:paraId="26875D9E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Руководство пользователя Системы должно содержать условия выполнения программы, описание выполнения программы и ожидаемый результат выполнения программы, а также, при необходимости, перечень ошибок пользователя и способы их устранения. Содержательная часть руководства пользователя ограничивается списком произведенных доработок. В остальном руководством пользователя выступает официальное руководство пользователя, выпускаемое компанией 1С. Руководство пользователя Системы по указанным в настоящем ЧТЗ доработкам может быть включено в общее руководство пользователя Системы с доработками по другим ЧТЗ. В этом случае в отдельном руководстве пользователя по доработкам, описанным в настоящем ЧТЗ нет необходимости.</w:t>
      </w:r>
    </w:p>
    <w:p w14:paraId="74115FF4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Руководство администратора Системы готовится только в том случае, если стандартное руководство администратора Системы, выпускаемое компанией 1С недостаточно для работы с Системой после выполненных доработок. Руководство администратора Системы должно содержать описание структуры произведенных доработок, сведения о настройках доработанной части Системы, описание способов проверки работоспособности Системы в части доработок, описание дополнительных возможностей Системы в части ее администрирования после произведенных доработок, при необходимости описание перечня возможных ошибок при администрировании доработанной части Системы и способы их устранения, а также описание сообщений администратору Системы, касающиеся доработанной части Системы. Руководство администратора Системы по указанным в настоящем ЧТЗ доработкам может быть включено в общее руководство администратора Системы с доработками по другим ЧТЗ. В этом случае в отдельном руководстве администратора по доработкам, описанным в настоящем ЧТЗ нет необходимости.</w:t>
      </w:r>
    </w:p>
    <w:p w14:paraId="30B53D00" w14:textId="2B892BE9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Программа и методика испытаний Системы (ПиМИ) может быть представлена общим документом на все доработки Системы по другим ЧТЗ в том числе. В этом случае наличие отдельной ПиМИ по доработкам, описанным в настоящем ЧТЗ, не требуется.</w:t>
      </w:r>
    </w:p>
    <w:p w14:paraId="72337868" w14:textId="551F55AC" w:rsidR="00586CCD" w:rsidRDefault="00586CCD" w:rsidP="003550D3">
      <w:pPr>
        <w:pStyle w:val="1"/>
        <w:numPr>
          <w:ilvl w:val="0"/>
          <w:numId w:val="1"/>
        </w:numPr>
        <w:rPr>
          <w:lang w:val="ru-RU" w:eastAsia="ru-RU"/>
        </w:rPr>
      </w:pPr>
      <w:bookmarkStart w:id="34" w:name="_Toc181782211"/>
      <w:bookmarkStart w:id="35" w:name="_Ref183184862"/>
      <w:bookmarkStart w:id="36" w:name="_Toc183186425"/>
      <w:r>
        <w:rPr>
          <w:lang w:val="ru-RU" w:eastAsia="ru-RU"/>
        </w:rPr>
        <w:t>Стадии и этапы разработки</w:t>
      </w:r>
      <w:bookmarkEnd w:id="34"/>
      <w:bookmarkEnd w:id="35"/>
      <w:bookmarkEnd w:id="36"/>
    </w:p>
    <w:p w14:paraId="0862CCB8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Разработка доработок Системы производится в несколько этапов:</w:t>
      </w:r>
    </w:p>
    <w:p w14:paraId="0FA163BA" w14:textId="38B8366C" w:rsidR="00717784" w:rsidRPr="00717784" w:rsidRDefault="00717784" w:rsidP="00717784">
      <w:pPr>
        <w:pStyle w:val="ab"/>
        <w:numPr>
          <w:ilvl w:val="0"/>
          <w:numId w:val="21"/>
        </w:numPr>
        <w:rPr>
          <w:lang w:val="ru-RU" w:eastAsia="ru-RU"/>
        </w:rPr>
      </w:pPr>
      <w:r w:rsidRPr="00717784">
        <w:rPr>
          <w:lang w:val="ru-RU" w:eastAsia="ru-RU"/>
        </w:rPr>
        <w:t>Подготовительный этап</w:t>
      </w:r>
      <w:r>
        <w:rPr>
          <w:lang w:val="ru-RU" w:eastAsia="ru-RU"/>
        </w:rPr>
        <w:t>;</w:t>
      </w:r>
    </w:p>
    <w:p w14:paraId="487BDA6F" w14:textId="5FB137B3" w:rsidR="00717784" w:rsidRPr="00717784" w:rsidRDefault="00717784" w:rsidP="00717784">
      <w:pPr>
        <w:pStyle w:val="ab"/>
        <w:numPr>
          <w:ilvl w:val="0"/>
          <w:numId w:val="21"/>
        </w:numPr>
        <w:rPr>
          <w:lang w:val="ru-RU" w:eastAsia="ru-RU"/>
        </w:rPr>
      </w:pPr>
      <w:r w:rsidRPr="00717784">
        <w:rPr>
          <w:lang w:val="ru-RU" w:eastAsia="ru-RU"/>
        </w:rPr>
        <w:t>Этап разработки</w:t>
      </w:r>
      <w:r>
        <w:rPr>
          <w:lang w:val="ru-RU" w:eastAsia="ru-RU"/>
        </w:rPr>
        <w:t>;</w:t>
      </w:r>
    </w:p>
    <w:p w14:paraId="5441B45A" w14:textId="17B20055" w:rsidR="00717784" w:rsidRPr="00717784" w:rsidRDefault="00717784" w:rsidP="00717784">
      <w:pPr>
        <w:pStyle w:val="ab"/>
        <w:numPr>
          <w:ilvl w:val="0"/>
          <w:numId w:val="21"/>
        </w:numPr>
        <w:rPr>
          <w:lang w:val="ru-RU" w:eastAsia="ru-RU"/>
        </w:rPr>
      </w:pPr>
      <w:r w:rsidRPr="00717784">
        <w:rPr>
          <w:lang w:val="ru-RU" w:eastAsia="ru-RU"/>
        </w:rPr>
        <w:lastRenderedPageBreak/>
        <w:t>Этап тестирования</w:t>
      </w:r>
      <w:r>
        <w:rPr>
          <w:lang w:val="ru-RU" w:eastAsia="ru-RU"/>
        </w:rPr>
        <w:t>;</w:t>
      </w:r>
    </w:p>
    <w:p w14:paraId="52EB0030" w14:textId="4AB97E55" w:rsidR="00717784" w:rsidRPr="00717784" w:rsidRDefault="00717784" w:rsidP="00717784">
      <w:pPr>
        <w:pStyle w:val="ab"/>
        <w:numPr>
          <w:ilvl w:val="0"/>
          <w:numId w:val="21"/>
        </w:numPr>
        <w:rPr>
          <w:lang w:val="ru-RU" w:eastAsia="ru-RU"/>
        </w:rPr>
      </w:pPr>
      <w:r w:rsidRPr="00717784">
        <w:rPr>
          <w:lang w:val="ru-RU" w:eastAsia="ru-RU"/>
        </w:rPr>
        <w:t>Этап приемки</w:t>
      </w:r>
      <w:r>
        <w:rPr>
          <w:lang w:val="ru-RU" w:eastAsia="ru-RU"/>
        </w:rPr>
        <w:t>.</w:t>
      </w:r>
    </w:p>
    <w:p w14:paraId="1C732401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На этапе подготовки производится создание и согласование частного технического задания на доработку Системы. После согласования ЧТЗ оно передается разработчику на предварительный анализ и оценку необходимых операций по доработке Системы. При необходимости разработчик декомпозирует ЧТЗ на несколько заданий на разработку. Если в этом случае предполагаются операции не предусмотренные настоящим ЧТЗ, разработчик извещает об этом заинтересованные лица и приостанавливает работы до согласования дополнительного перечня работ.</w:t>
      </w:r>
    </w:p>
    <w:p w14:paraId="0F39528B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На этапе разработки программистом вносятся необходимые изменения в программный код Системы. При внесении изменений в программный код, разработчик следит за тем, чтобы внесенные изменения не затрагивали функционал Системы, не относящийся к доработкам, а при возникновении конфликтов в программном коде, блокирующих проведение работ по доработке Системы, извещает об этом заинтересованные лица и приостанавливает работы до согласования иного подхода в разработке или устранения возникающих конфликтов.</w:t>
      </w:r>
    </w:p>
    <w:p w14:paraId="637FB46E" w14:textId="77777777" w:rsidR="00717784" w:rsidRPr="00717784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На этапе тестирования доработок Системы сотрудником Исполнителя, уполномоченным производить тестирование, проверяется их соответствие требованиям п.6 настоящего ЧТЗ, а также проверяется общая работоспособность Системы после произведенных доработок. При выявлении ошибок и снижения функциональности Системы (если снижение функциональности не предусмотрено доработкой) результат работ признается неудовлетворительным и возвращается программисту на доработку.</w:t>
      </w:r>
    </w:p>
    <w:p w14:paraId="2E26805A" w14:textId="119B792C" w:rsidR="00586CCD" w:rsidRDefault="00717784" w:rsidP="00717784">
      <w:pPr>
        <w:rPr>
          <w:lang w:val="ru-RU" w:eastAsia="ru-RU"/>
        </w:rPr>
      </w:pPr>
      <w:r w:rsidRPr="00717784">
        <w:rPr>
          <w:lang w:val="ru-RU" w:eastAsia="ru-RU"/>
        </w:rPr>
        <w:t>После тестирования доработок Системы силами Исполнителя, доработки передаются Заказчику, которые проверяет их соответствие требованиям п.</w:t>
      </w:r>
      <w:r w:rsidR="007E53FE">
        <w:rPr>
          <w:lang w:val="ru-RU" w:eastAsia="ru-RU"/>
        </w:rPr>
        <w:fldChar w:fldCharType="begin"/>
      </w:r>
      <w:r w:rsidR="007E53FE">
        <w:rPr>
          <w:lang w:val="ru-RU" w:eastAsia="ru-RU"/>
        </w:rPr>
        <w:instrText xml:space="preserve"> REF _Ref183184777 \n \h </w:instrText>
      </w:r>
      <w:r w:rsidR="007E53FE">
        <w:rPr>
          <w:lang w:val="ru-RU" w:eastAsia="ru-RU"/>
        </w:rPr>
      </w:r>
      <w:r w:rsidR="007E53FE">
        <w:rPr>
          <w:lang w:val="ru-RU" w:eastAsia="ru-RU"/>
        </w:rPr>
        <w:fldChar w:fldCharType="separate"/>
      </w:r>
      <w:r w:rsidR="00D24883">
        <w:rPr>
          <w:lang w:val="ru-RU" w:eastAsia="ru-RU"/>
        </w:rPr>
        <w:t>6</w:t>
      </w:r>
      <w:r w:rsidR="007E53FE">
        <w:rPr>
          <w:lang w:val="ru-RU" w:eastAsia="ru-RU"/>
        </w:rPr>
        <w:fldChar w:fldCharType="end"/>
      </w:r>
      <w:r w:rsidRPr="00717784">
        <w:rPr>
          <w:lang w:val="ru-RU" w:eastAsia="ru-RU"/>
        </w:rPr>
        <w:t xml:space="preserve"> настоящего ЧТЗ. При отсутствии замечаний со стороны Заказчика по произведенным доработкам Системы, работа по доработке Системы считается выполненной в соответствии с настоящим ЧТЗ, а результат работ считается принятым.</w:t>
      </w:r>
    </w:p>
    <w:p w14:paraId="01E3FD78" w14:textId="0CE9B27C" w:rsidR="00586CCD" w:rsidRDefault="00586CCD" w:rsidP="003550D3">
      <w:pPr>
        <w:pStyle w:val="1"/>
        <w:numPr>
          <w:ilvl w:val="0"/>
          <w:numId w:val="1"/>
        </w:numPr>
        <w:rPr>
          <w:lang w:val="ru-RU" w:eastAsia="ru-RU"/>
        </w:rPr>
      </w:pPr>
      <w:bookmarkStart w:id="37" w:name="_Toc181782212"/>
      <w:bookmarkStart w:id="38" w:name="_Ref183184777"/>
      <w:bookmarkStart w:id="39" w:name="_Toc183186426"/>
      <w:r>
        <w:rPr>
          <w:lang w:val="ru-RU" w:eastAsia="ru-RU"/>
        </w:rPr>
        <w:t>Порядок контроля и приемки</w:t>
      </w:r>
      <w:bookmarkEnd w:id="37"/>
      <w:bookmarkEnd w:id="38"/>
      <w:bookmarkEnd w:id="39"/>
    </w:p>
    <w:p w14:paraId="0DF30186" w14:textId="54FD79BB" w:rsidR="00BF6AC9" w:rsidRPr="00A472B2" w:rsidRDefault="00BF6AC9" w:rsidP="007E53FE">
      <w:pPr>
        <w:pStyle w:val="afd"/>
      </w:pPr>
      <w:bookmarkStart w:id="40" w:name="_Toc181782213"/>
    </w:p>
    <w:tbl>
      <w:tblPr>
        <w:tblStyle w:val="-11"/>
        <w:tblW w:w="9351" w:type="dxa"/>
        <w:tblLook w:val="04A0" w:firstRow="1" w:lastRow="0" w:firstColumn="1" w:lastColumn="0" w:noHBand="0" w:noVBand="1"/>
      </w:tblPr>
      <w:tblGrid>
        <w:gridCol w:w="846"/>
        <w:gridCol w:w="4111"/>
        <w:gridCol w:w="4394"/>
      </w:tblGrid>
      <w:tr w:rsidR="007E53FE" w14:paraId="6BD9383D" w14:textId="77777777" w:rsidTr="007E5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A4BF3C" w14:textId="77777777" w:rsidR="007E53FE" w:rsidRDefault="007E53FE" w:rsidP="007E53F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Шаг</w:t>
            </w:r>
          </w:p>
        </w:tc>
        <w:tc>
          <w:tcPr>
            <w:tcW w:w="4111" w:type="dxa"/>
          </w:tcPr>
          <w:p w14:paraId="37495469" w14:textId="77777777" w:rsidR="007E53FE" w:rsidRDefault="007E53FE" w:rsidP="007E5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</w:t>
            </w:r>
          </w:p>
        </w:tc>
        <w:tc>
          <w:tcPr>
            <w:tcW w:w="4394" w:type="dxa"/>
          </w:tcPr>
          <w:p w14:paraId="13382467" w14:textId="77777777" w:rsidR="007E53FE" w:rsidRDefault="007E53FE" w:rsidP="007E5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Ожидаемый результат</w:t>
            </w:r>
          </w:p>
        </w:tc>
      </w:tr>
      <w:tr w:rsidR="007E53FE" w:rsidRPr="00B822D0" w14:paraId="256CD1AC" w14:textId="77777777" w:rsidTr="007E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74F7E8A" w14:textId="77777777" w:rsidR="007E53FE" w:rsidRPr="00A421C9" w:rsidRDefault="007E53FE" w:rsidP="007E53FE">
            <w:pPr>
              <w:pStyle w:val="ab"/>
              <w:numPr>
                <w:ilvl w:val="0"/>
                <w:numId w:val="2"/>
              </w:numPr>
              <w:rPr>
                <w:lang w:val="ru-RU" w:eastAsia="ru-RU"/>
              </w:rPr>
            </w:pPr>
            <w:bookmarkStart w:id="41" w:name="_Ref183185441"/>
          </w:p>
        </w:tc>
        <w:bookmarkEnd w:id="41"/>
        <w:tc>
          <w:tcPr>
            <w:tcW w:w="4111" w:type="dxa"/>
          </w:tcPr>
          <w:p w14:paraId="609CE680" w14:textId="77777777" w:rsidR="007E53FE" w:rsidRDefault="007E53FE" w:rsidP="007E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Исходные данные:</w:t>
            </w:r>
          </w:p>
          <w:p w14:paraId="7BC5C8DE" w14:textId="03B07D47" w:rsidR="007E53FE" w:rsidRDefault="007E53FE" w:rsidP="007E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 w:rsidRPr="007E53FE">
              <w:rPr>
                <w:lang w:val="ru-RU" w:eastAsia="ru-RU"/>
              </w:rPr>
              <w:t>Документ «План производства» в статусе «Утвержден», в табличной части добавлена номенклатура с указанной спецификацией. Ресурсные спецификации имеют в составе материалов полуфабрикаты, производимые в процессе, с указанными соответствующими ресурсными спецификациями.</w:t>
            </w:r>
          </w:p>
          <w:p w14:paraId="24C2C97D" w14:textId="27933963" w:rsidR="007E53FE" w:rsidRPr="007E53FE" w:rsidRDefault="007E53FE" w:rsidP="007E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Порядок действий:</w:t>
            </w:r>
          </w:p>
          <w:p w14:paraId="17330FC0" w14:textId="77777777" w:rsidR="007E53FE" w:rsidRDefault="007E53FE" w:rsidP="007E53FE">
            <w:pPr>
              <w:pStyle w:val="ab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Открыть журнал документов «Заказ материалов в производство».</w:t>
            </w:r>
          </w:p>
          <w:p w14:paraId="1252A92A" w14:textId="1FC2A7FD" w:rsidR="007E53FE" w:rsidRPr="007E53FE" w:rsidRDefault="007E53FE" w:rsidP="007E53FE">
            <w:pPr>
              <w:pStyle w:val="ab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Нажать кнопку «Создать», выбрать вариант: «По плану».</w:t>
            </w:r>
          </w:p>
        </w:tc>
        <w:tc>
          <w:tcPr>
            <w:tcW w:w="4394" w:type="dxa"/>
          </w:tcPr>
          <w:p w14:paraId="79CF6BF0" w14:textId="4996472B" w:rsidR="007E53FE" w:rsidRPr="00B4673C" w:rsidRDefault="007E53FE" w:rsidP="007E53FE">
            <w:pPr>
              <w:pStyle w:val="a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Открыта обработка «Формирование заказов на передачу в производство по плану».</w:t>
            </w:r>
          </w:p>
        </w:tc>
      </w:tr>
      <w:tr w:rsidR="007E53FE" w:rsidRPr="00B822D0" w14:paraId="3F2B1174" w14:textId="77777777" w:rsidTr="007E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B47425" w14:textId="77777777" w:rsidR="007E53FE" w:rsidRPr="00A421C9" w:rsidRDefault="007E53FE" w:rsidP="007E53FE">
            <w:pPr>
              <w:pStyle w:val="ab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4111" w:type="dxa"/>
          </w:tcPr>
          <w:p w14:paraId="216D65A5" w14:textId="323C2E6F" w:rsidR="007E53FE" w:rsidRDefault="007E53FE" w:rsidP="007E53FE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На шаге № 1 работы с обработкой «Формирование заказов на передачу в производство по плану» выбрать сценарий планирования указанный в документе «План производства» из п.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_Ref183185441 \n \h </w:instrText>
            </w:r>
            <w:r>
              <w:rPr>
                <w:lang w:val="ru-RU" w:eastAsia="ru-RU"/>
              </w:rPr>
            </w:r>
            <w:r>
              <w:rPr>
                <w:lang w:val="ru-RU" w:eastAsia="ru-RU"/>
              </w:rPr>
              <w:fldChar w:fldCharType="separate"/>
            </w:r>
            <w:r w:rsidR="00D24883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  <w:p w14:paraId="12FA2A2B" w14:textId="77777777" w:rsidR="007E53FE" w:rsidRDefault="007E53FE" w:rsidP="007E53FE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Нажать кнопку «Далее».</w:t>
            </w:r>
          </w:p>
          <w:p w14:paraId="549D4641" w14:textId="77777777" w:rsidR="007E53FE" w:rsidRDefault="007E53FE" w:rsidP="007E53FE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Отметить все строки табличной части обработки на шаге № 2.</w:t>
            </w:r>
          </w:p>
          <w:p w14:paraId="355C9218" w14:textId="500A8223" w:rsidR="007E53FE" w:rsidRPr="00DC3119" w:rsidRDefault="007E53FE" w:rsidP="00DC3119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Нажать кнопку «Создать заказы».</w:t>
            </w:r>
          </w:p>
        </w:tc>
        <w:tc>
          <w:tcPr>
            <w:tcW w:w="4394" w:type="dxa"/>
          </w:tcPr>
          <w:p w14:paraId="38CEA916" w14:textId="77777777" w:rsidR="007E53FE" w:rsidRDefault="007E53FE" w:rsidP="007E53FE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создан новый документ(ы) «Заказ материалов в производство».</w:t>
            </w:r>
          </w:p>
          <w:p w14:paraId="5395C465" w14:textId="77777777" w:rsidR="007E53FE" w:rsidRDefault="007E53FE" w:rsidP="007E53FE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Табличная часть документа заполнена:</w:t>
            </w:r>
          </w:p>
          <w:p w14:paraId="51BF197E" w14:textId="487CE8FE" w:rsidR="007E53FE" w:rsidRDefault="007E53FE" w:rsidP="007E53FE">
            <w:pPr>
              <w:pStyle w:val="ab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материалами из ресурсных спецификаций на изделия указанных в документе «План производства».</w:t>
            </w:r>
          </w:p>
          <w:p w14:paraId="480F5A35" w14:textId="77777777" w:rsidR="007E53FE" w:rsidRDefault="007E53FE" w:rsidP="007E53FE">
            <w:pPr>
              <w:pStyle w:val="ab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материалами из ресурсных спецификаций на полуфабрикаты, входящих в </w:t>
            </w:r>
            <w:r>
              <w:rPr>
                <w:lang w:val="ru-RU" w:eastAsia="ru-RU"/>
              </w:rPr>
              <w:lastRenderedPageBreak/>
              <w:t>состав ресурсных спецификации на изделия указанных в документе «План производства», всех уровней вложенности.</w:t>
            </w:r>
          </w:p>
          <w:p w14:paraId="29EF7496" w14:textId="77777777" w:rsidR="007E53FE" w:rsidRDefault="007E53FE" w:rsidP="00DC3119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Для каждой строк</w:t>
            </w:r>
            <w:r w:rsidR="00DC3119">
              <w:rPr>
                <w:lang w:val="ru-RU" w:eastAsia="ru-RU"/>
              </w:rPr>
              <w:t>и</w:t>
            </w:r>
            <w:r>
              <w:rPr>
                <w:lang w:val="ru-RU" w:eastAsia="ru-RU"/>
              </w:rPr>
              <w:t xml:space="preserve"> номенклатуры табличной части вкладки «Материалы» указана </w:t>
            </w:r>
            <w:r w:rsidR="00DC3119">
              <w:rPr>
                <w:lang w:val="ru-RU" w:eastAsia="ru-RU"/>
              </w:rPr>
              <w:t>соответствующая ресурсная спецификация, в соответствии с которой была подобрана потребность в материалах.</w:t>
            </w:r>
          </w:p>
          <w:p w14:paraId="097DEE49" w14:textId="41074B98" w:rsidR="00D24883" w:rsidRPr="00BF0BC5" w:rsidRDefault="00D24883" w:rsidP="00D24883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 табличной части нет одинаковых строк номенклатуры с одинаковым значением «Ресурсная спецификация». </w:t>
            </w:r>
          </w:p>
        </w:tc>
      </w:tr>
      <w:tr w:rsidR="007E53FE" w:rsidRPr="00B822D0" w14:paraId="4FE2EE9E" w14:textId="77777777" w:rsidTr="007E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6D4A1D" w14:textId="77777777" w:rsidR="007E53FE" w:rsidRPr="00A421C9" w:rsidRDefault="007E53FE" w:rsidP="007E53FE">
            <w:pPr>
              <w:pStyle w:val="ab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4111" w:type="dxa"/>
          </w:tcPr>
          <w:p w14:paraId="19C107CA" w14:textId="460EE4C1" w:rsidR="007E53FE" w:rsidRDefault="00DC3119" w:rsidP="00D24883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Из ячейки столбца «Ресурсная спецификация» открыть </w:t>
            </w:r>
            <w:r w:rsidR="00D24883">
              <w:rPr>
                <w:lang w:val="ru-RU" w:eastAsia="ru-RU"/>
              </w:rPr>
              <w:t>ресурсную спецификацию.</w:t>
            </w:r>
          </w:p>
        </w:tc>
        <w:tc>
          <w:tcPr>
            <w:tcW w:w="4394" w:type="dxa"/>
          </w:tcPr>
          <w:p w14:paraId="1D548E47" w14:textId="616F5DE1" w:rsidR="007E53FE" w:rsidRDefault="00D24883" w:rsidP="007E53FE">
            <w:pPr>
              <w:pStyle w:val="ab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 w:eastAsia="ru-RU"/>
              </w:rPr>
            </w:pPr>
            <w:r>
              <w:rPr>
                <w:lang w:val="ru-RU" w:eastAsia="ru-RU"/>
              </w:rPr>
              <w:t>Открыт элемент справочника «Ресурсные спецификации».</w:t>
            </w:r>
          </w:p>
        </w:tc>
      </w:tr>
    </w:tbl>
    <w:p w14:paraId="0548B552" w14:textId="77777777" w:rsidR="0027259F" w:rsidRDefault="0027259F" w:rsidP="0027259F">
      <w:pPr>
        <w:rPr>
          <w:lang w:val="ru-RU" w:eastAsia="ru-RU"/>
        </w:rPr>
        <w:sectPr w:rsidR="002725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B96954" w14:textId="7545D3AC" w:rsidR="00957460" w:rsidRDefault="007E53FE" w:rsidP="007E53FE">
      <w:pPr>
        <w:pStyle w:val="1"/>
        <w:numPr>
          <w:ilvl w:val="0"/>
          <w:numId w:val="1"/>
        </w:numPr>
        <w:rPr>
          <w:lang w:val="ru-RU" w:eastAsia="ru-RU"/>
        </w:rPr>
      </w:pPr>
      <w:bookmarkStart w:id="42" w:name="_Toc183186427"/>
      <w:bookmarkEnd w:id="3"/>
      <w:bookmarkEnd w:id="4"/>
      <w:bookmarkEnd w:id="6"/>
      <w:bookmarkEnd w:id="40"/>
      <w:r>
        <w:rPr>
          <w:lang w:val="ru-RU" w:eastAsia="ru-RU"/>
        </w:rPr>
        <w:lastRenderedPageBreak/>
        <w:t>Заключение.</w:t>
      </w:r>
      <w:bookmarkEnd w:id="42"/>
    </w:p>
    <w:p w14:paraId="12D654F7" w14:textId="061C8A4C" w:rsidR="007E53FE" w:rsidRPr="007E53FE" w:rsidRDefault="007E53FE" w:rsidP="007E53FE">
      <w:pPr>
        <w:rPr>
          <w:lang w:val="ru-RU" w:eastAsia="ru-RU"/>
        </w:rPr>
      </w:pPr>
      <w:r w:rsidRPr="007E53FE">
        <w:rPr>
          <w:lang w:val="ru-RU" w:eastAsia="ru-RU"/>
        </w:rPr>
        <w:t>Все, что не предусмотрено настоящим частным техническим заданием, но будет выявлено в ходе разработки на любом этапе, указанном в п.</w:t>
      </w:r>
      <w:r>
        <w:rPr>
          <w:lang w:val="ru-RU" w:eastAsia="ru-RU"/>
        </w:rPr>
        <w:fldChar w:fldCharType="begin"/>
      </w:r>
      <w:r>
        <w:rPr>
          <w:lang w:val="ru-RU" w:eastAsia="ru-RU"/>
        </w:rPr>
        <w:instrText xml:space="preserve"> REF _Ref183184862 \n \h </w:instrText>
      </w:r>
      <w:r>
        <w:rPr>
          <w:lang w:val="ru-RU" w:eastAsia="ru-RU"/>
        </w:rPr>
      </w:r>
      <w:r>
        <w:rPr>
          <w:lang w:val="ru-RU" w:eastAsia="ru-RU"/>
        </w:rPr>
        <w:fldChar w:fldCharType="separate"/>
      </w:r>
      <w:r w:rsidR="00D24883">
        <w:rPr>
          <w:lang w:val="ru-RU" w:eastAsia="ru-RU"/>
        </w:rPr>
        <w:t>5</w:t>
      </w:r>
      <w:r>
        <w:rPr>
          <w:lang w:val="ru-RU" w:eastAsia="ru-RU"/>
        </w:rPr>
        <w:fldChar w:fldCharType="end"/>
      </w:r>
      <w:r w:rsidRPr="007E53FE">
        <w:rPr>
          <w:lang w:val="ru-RU" w:eastAsia="ru-RU"/>
        </w:rPr>
        <w:t xml:space="preserve"> настоящего ЧТЗ, и определено по согласованию заинтересованных сторон, как обязательное условие, должно быть включено в настоящее частное техническое задание, но только в том случае, если это не ведет к существенному увеличению трудозатрат на производство доработок. В противном случае, вновь выявленные требования фиксируются в отдельном частном техническом задании, а работы по такому частному техническому заданию производятся только после согласования всех заинтересованных сторон.</w:t>
      </w:r>
    </w:p>
    <w:sectPr w:rsidR="007E53FE" w:rsidRPr="007E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7F60C" w16cex:dateUtc="2024-12-02T06:02:00Z"/>
  <w16cex:commentExtensible w16cex:durableId="2AF7F702" w16cex:dateUtc="2024-12-02T06:06:00Z"/>
  <w16cex:commentExtensible w16cex:durableId="2AF7FA62" w16cex:dateUtc="2024-12-02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94C22" w16cid:durableId="2AF7F60C"/>
  <w16cid:commentId w16cid:paraId="60092222" w16cid:durableId="2AF7F702"/>
  <w16cid:commentId w16cid:paraId="7FA83A3D" w16cid:durableId="2AF7FA6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28223" w14:textId="77777777" w:rsidR="00CA05CC" w:rsidRDefault="00CA05CC" w:rsidP="00AD036A">
      <w:pPr>
        <w:spacing w:before="0" w:after="0"/>
      </w:pPr>
      <w:r>
        <w:separator/>
      </w:r>
    </w:p>
  </w:endnote>
  <w:endnote w:type="continuationSeparator" w:id="0">
    <w:p w14:paraId="1DB6EDAA" w14:textId="77777777" w:rsidR="00CA05CC" w:rsidRDefault="00CA05CC" w:rsidP="00AD03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656008"/>
      <w:docPartObj>
        <w:docPartGallery w:val="Page Numbers (Bottom of Page)"/>
        <w:docPartUnique/>
      </w:docPartObj>
    </w:sdtPr>
    <w:sdtEndPr/>
    <w:sdtContent>
      <w:p w14:paraId="137B871F" w14:textId="475C3044" w:rsidR="007E53FE" w:rsidRDefault="007E53FE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349" w:rsidRPr="00496349">
          <w:rPr>
            <w:noProof/>
            <w:lang w:val="ru-RU"/>
          </w:rPr>
          <w:t>11</w:t>
        </w:r>
        <w:r>
          <w:fldChar w:fldCharType="end"/>
        </w:r>
      </w:p>
    </w:sdtContent>
  </w:sdt>
  <w:p w14:paraId="7EE54253" w14:textId="77777777" w:rsidR="007E53FE" w:rsidRDefault="007E53F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09042" w14:textId="77777777" w:rsidR="00CA05CC" w:rsidRDefault="00CA05CC" w:rsidP="00AD036A">
      <w:pPr>
        <w:spacing w:before="0" w:after="0"/>
      </w:pPr>
      <w:r>
        <w:separator/>
      </w:r>
    </w:p>
  </w:footnote>
  <w:footnote w:type="continuationSeparator" w:id="0">
    <w:p w14:paraId="08789F64" w14:textId="77777777" w:rsidR="00CA05CC" w:rsidRDefault="00CA05CC" w:rsidP="00AD03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BBD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23339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B7E67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8B6D71"/>
    <w:multiLevelType w:val="hybridMultilevel"/>
    <w:tmpl w:val="D07A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7717"/>
    <w:multiLevelType w:val="hybridMultilevel"/>
    <w:tmpl w:val="099C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17AA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B0595C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F2105E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315526"/>
    <w:multiLevelType w:val="hybridMultilevel"/>
    <w:tmpl w:val="AB82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91C"/>
    <w:multiLevelType w:val="hybridMultilevel"/>
    <w:tmpl w:val="13FC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4E64"/>
    <w:multiLevelType w:val="hybridMultilevel"/>
    <w:tmpl w:val="FD1A8CFE"/>
    <w:lvl w:ilvl="0" w:tplc="3C32B316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F5F"/>
    <w:multiLevelType w:val="hybridMultilevel"/>
    <w:tmpl w:val="27E83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22E0C"/>
    <w:multiLevelType w:val="hybridMultilevel"/>
    <w:tmpl w:val="886C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4208C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0714C2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1E747E"/>
    <w:multiLevelType w:val="hybridMultilevel"/>
    <w:tmpl w:val="D1C2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70E94"/>
    <w:multiLevelType w:val="hybridMultilevel"/>
    <w:tmpl w:val="ED38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C0000"/>
    <w:multiLevelType w:val="hybridMultilevel"/>
    <w:tmpl w:val="12DE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F54E7"/>
    <w:multiLevelType w:val="hybridMultilevel"/>
    <w:tmpl w:val="A02E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60E63"/>
    <w:multiLevelType w:val="hybridMultilevel"/>
    <w:tmpl w:val="29BA3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3703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215495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7"/>
  </w:num>
  <w:num w:numId="5">
    <w:abstractNumId w:val="18"/>
  </w:num>
  <w:num w:numId="6">
    <w:abstractNumId w:val="19"/>
  </w:num>
  <w:num w:numId="7">
    <w:abstractNumId w:val="6"/>
  </w:num>
  <w:num w:numId="8">
    <w:abstractNumId w:val="21"/>
  </w:num>
  <w:num w:numId="9">
    <w:abstractNumId w:val="14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13"/>
  </w:num>
  <w:num w:numId="15">
    <w:abstractNumId w:val="20"/>
  </w:num>
  <w:num w:numId="16">
    <w:abstractNumId w:val="5"/>
  </w:num>
  <w:num w:numId="17">
    <w:abstractNumId w:val="12"/>
  </w:num>
  <w:num w:numId="18">
    <w:abstractNumId w:val="3"/>
  </w:num>
  <w:num w:numId="19">
    <w:abstractNumId w:val="9"/>
  </w:num>
  <w:num w:numId="20">
    <w:abstractNumId w:val="16"/>
  </w:num>
  <w:num w:numId="21">
    <w:abstractNumId w:val="10"/>
  </w:num>
  <w:num w:numId="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B"/>
    <w:rsid w:val="00004249"/>
    <w:rsid w:val="00004A48"/>
    <w:rsid w:val="00014864"/>
    <w:rsid w:val="00041D40"/>
    <w:rsid w:val="00064F98"/>
    <w:rsid w:val="00090242"/>
    <w:rsid w:val="0009345B"/>
    <w:rsid w:val="000B1831"/>
    <w:rsid w:val="000C7800"/>
    <w:rsid w:val="000D3BC7"/>
    <w:rsid w:val="000E1C27"/>
    <w:rsid w:val="00102E81"/>
    <w:rsid w:val="00144237"/>
    <w:rsid w:val="00151A10"/>
    <w:rsid w:val="001651B4"/>
    <w:rsid w:val="001756D1"/>
    <w:rsid w:val="0018078E"/>
    <w:rsid w:val="00186871"/>
    <w:rsid w:val="00195306"/>
    <w:rsid w:val="001B0279"/>
    <w:rsid w:val="001C4298"/>
    <w:rsid w:val="001E2AB8"/>
    <w:rsid w:val="001F3A40"/>
    <w:rsid w:val="002042E9"/>
    <w:rsid w:val="00213D57"/>
    <w:rsid w:val="00254774"/>
    <w:rsid w:val="002550E7"/>
    <w:rsid w:val="00262465"/>
    <w:rsid w:val="00264904"/>
    <w:rsid w:val="00266890"/>
    <w:rsid w:val="0027259F"/>
    <w:rsid w:val="00275A45"/>
    <w:rsid w:val="002907A4"/>
    <w:rsid w:val="00293509"/>
    <w:rsid w:val="002962D2"/>
    <w:rsid w:val="002A3556"/>
    <w:rsid w:val="002B2162"/>
    <w:rsid w:val="002D20D4"/>
    <w:rsid w:val="002E6679"/>
    <w:rsid w:val="002F5680"/>
    <w:rsid w:val="002F77E1"/>
    <w:rsid w:val="00332D01"/>
    <w:rsid w:val="00341290"/>
    <w:rsid w:val="0034369D"/>
    <w:rsid w:val="003527EF"/>
    <w:rsid w:val="003550D3"/>
    <w:rsid w:val="003563FA"/>
    <w:rsid w:val="003642AF"/>
    <w:rsid w:val="00364951"/>
    <w:rsid w:val="00366D4F"/>
    <w:rsid w:val="00382727"/>
    <w:rsid w:val="0039428B"/>
    <w:rsid w:val="003B3B09"/>
    <w:rsid w:val="003B6354"/>
    <w:rsid w:val="003C5558"/>
    <w:rsid w:val="003C7039"/>
    <w:rsid w:val="003D6E9C"/>
    <w:rsid w:val="003E30FF"/>
    <w:rsid w:val="003E64A9"/>
    <w:rsid w:val="004102F6"/>
    <w:rsid w:val="00425894"/>
    <w:rsid w:val="00430F7A"/>
    <w:rsid w:val="0043138D"/>
    <w:rsid w:val="00456C20"/>
    <w:rsid w:val="00460043"/>
    <w:rsid w:val="00477B82"/>
    <w:rsid w:val="004834CF"/>
    <w:rsid w:val="00483E85"/>
    <w:rsid w:val="00496349"/>
    <w:rsid w:val="004B595E"/>
    <w:rsid w:val="004B5C37"/>
    <w:rsid w:val="004D4850"/>
    <w:rsid w:val="004E2192"/>
    <w:rsid w:val="004E33CE"/>
    <w:rsid w:val="004F0E51"/>
    <w:rsid w:val="004F55F3"/>
    <w:rsid w:val="004F7971"/>
    <w:rsid w:val="00506E37"/>
    <w:rsid w:val="00516D18"/>
    <w:rsid w:val="0052780E"/>
    <w:rsid w:val="00536CF9"/>
    <w:rsid w:val="00540219"/>
    <w:rsid w:val="00547230"/>
    <w:rsid w:val="005720D6"/>
    <w:rsid w:val="00574D4D"/>
    <w:rsid w:val="00586CCD"/>
    <w:rsid w:val="005B35F8"/>
    <w:rsid w:val="005B7DA6"/>
    <w:rsid w:val="005C2FB8"/>
    <w:rsid w:val="006307FD"/>
    <w:rsid w:val="006435DB"/>
    <w:rsid w:val="00651C0A"/>
    <w:rsid w:val="00662133"/>
    <w:rsid w:val="00673C04"/>
    <w:rsid w:val="0067403A"/>
    <w:rsid w:val="006872A7"/>
    <w:rsid w:val="006A1C42"/>
    <w:rsid w:val="006B021D"/>
    <w:rsid w:val="006B13DD"/>
    <w:rsid w:val="006B6D01"/>
    <w:rsid w:val="006E3EDF"/>
    <w:rsid w:val="006F51E1"/>
    <w:rsid w:val="0070360B"/>
    <w:rsid w:val="00705097"/>
    <w:rsid w:val="00717784"/>
    <w:rsid w:val="00727F5B"/>
    <w:rsid w:val="00746D41"/>
    <w:rsid w:val="00751F98"/>
    <w:rsid w:val="00752804"/>
    <w:rsid w:val="00752A35"/>
    <w:rsid w:val="0075452E"/>
    <w:rsid w:val="00757775"/>
    <w:rsid w:val="007653B4"/>
    <w:rsid w:val="00774766"/>
    <w:rsid w:val="007759B7"/>
    <w:rsid w:val="00780C6F"/>
    <w:rsid w:val="007813F0"/>
    <w:rsid w:val="0078176C"/>
    <w:rsid w:val="00785F53"/>
    <w:rsid w:val="007976E4"/>
    <w:rsid w:val="007C364F"/>
    <w:rsid w:val="007D18E4"/>
    <w:rsid w:val="007D36C9"/>
    <w:rsid w:val="007E0A3D"/>
    <w:rsid w:val="007E53FE"/>
    <w:rsid w:val="007E69CE"/>
    <w:rsid w:val="00812288"/>
    <w:rsid w:val="00813091"/>
    <w:rsid w:val="00820E23"/>
    <w:rsid w:val="008234C5"/>
    <w:rsid w:val="00836B78"/>
    <w:rsid w:val="00874203"/>
    <w:rsid w:val="008845A6"/>
    <w:rsid w:val="008B328B"/>
    <w:rsid w:val="008D588E"/>
    <w:rsid w:val="008D6049"/>
    <w:rsid w:val="008E1149"/>
    <w:rsid w:val="008E332C"/>
    <w:rsid w:val="008F6559"/>
    <w:rsid w:val="00901C73"/>
    <w:rsid w:val="00931FBE"/>
    <w:rsid w:val="00942C37"/>
    <w:rsid w:val="00952483"/>
    <w:rsid w:val="00952606"/>
    <w:rsid w:val="00957460"/>
    <w:rsid w:val="00971273"/>
    <w:rsid w:val="00972D9A"/>
    <w:rsid w:val="00982B5B"/>
    <w:rsid w:val="0098380D"/>
    <w:rsid w:val="00990C33"/>
    <w:rsid w:val="00996FD8"/>
    <w:rsid w:val="009A0512"/>
    <w:rsid w:val="009A3D99"/>
    <w:rsid w:val="009A5DC7"/>
    <w:rsid w:val="009B132A"/>
    <w:rsid w:val="009B56B1"/>
    <w:rsid w:val="009D4401"/>
    <w:rsid w:val="009F001D"/>
    <w:rsid w:val="009F14FB"/>
    <w:rsid w:val="009F5411"/>
    <w:rsid w:val="00A066A8"/>
    <w:rsid w:val="00A1419C"/>
    <w:rsid w:val="00A20708"/>
    <w:rsid w:val="00A369E0"/>
    <w:rsid w:val="00A421C9"/>
    <w:rsid w:val="00A4528E"/>
    <w:rsid w:val="00A454BE"/>
    <w:rsid w:val="00A472B2"/>
    <w:rsid w:val="00A60658"/>
    <w:rsid w:val="00A61D3A"/>
    <w:rsid w:val="00A869AD"/>
    <w:rsid w:val="00A86D9A"/>
    <w:rsid w:val="00AA11D4"/>
    <w:rsid w:val="00AA4536"/>
    <w:rsid w:val="00AC105E"/>
    <w:rsid w:val="00AC38F0"/>
    <w:rsid w:val="00AD036A"/>
    <w:rsid w:val="00AE2FC2"/>
    <w:rsid w:val="00AE4784"/>
    <w:rsid w:val="00B02CEA"/>
    <w:rsid w:val="00B051EF"/>
    <w:rsid w:val="00B128A1"/>
    <w:rsid w:val="00B13203"/>
    <w:rsid w:val="00B134A9"/>
    <w:rsid w:val="00B15F53"/>
    <w:rsid w:val="00B21BBA"/>
    <w:rsid w:val="00B37C30"/>
    <w:rsid w:val="00B4673C"/>
    <w:rsid w:val="00B5484A"/>
    <w:rsid w:val="00B8001C"/>
    <w:rsid w:val="00B822D0"/>
    <w:rsid w:val="00B9369E"/>
    <w:rsid w:val="00B9460F"/>
    <w:rsid w:val="00B967E4"/>
    <w:rsid w:val="00BA1D0C"/>
    <w:rsid w:val="00BA75C3"/>
    <w:rsid w:val="00BB3B65"/>
    <w:rsid w:val="00BB598E"/>
    <w:rsid w:val="00BF0BC5"/>
    <w:rsid w:val="00BF6AC9"/>
    <w:rsid w:val="00C00F3B"/>
    <w:rsid w:val="00C04AFD"/>
    <w:rsid w:val="00C14FB1"/>
    <w:rsid w:val="00C168BD"/>
    <w:rsid w:val="00C17297"/>
    <w:rsid w:val="00C207DE"/>
    <w:rsid w:val="00C2636D"/>
    <w:rsid w:val="00C3584B"/>
    <w:rsid w:val="00C3652F"/>
    <w:rsid w:val="00C565DC"/>
    <w:rsid w:val="00C6248D"/>
    <w:rsid w:val="00C870EB"/>
    <w:rsid w:val="00C91A79"/>
    <w:rsid w:val="00C92176"/>
    <w:rsid w:val="00CA05CC"/>
    <w:rsid w:val="00CC22D9"/>
    <w:rsid w:val="00CD6191"/>
    <w:rsid w:val="00CD7132"/>
    <w:rsid w:val="00CF0719"/>
    <w:rsid w:val="00CF74E0"/>
    <w:rsid w:val="00CF779F"/>
    <w:rsid w:val="00D01C7F"/>
    <w:rsid w:val="00D03A7E"/>
    <w:rsid w:val="00D1718D"/>
    <w:rsid w:val="00D17CB4"/>
    <w:rsid w:val="00D2067F"/>
    <w:rsid w:val="00D24883"/>
    <w:rsid w:val="00D32276"/>
    <w:rsid w:val="00D33A6C"/>
    <w:rsid w:val="00D51FAE"/>
    <w:rsid w:val="00D564DA"/>
    <w:rsid w:val="00D57BE3"/>
    <w:rsid w:val="00D672B4"/>
    <w:rsid w:val="00D72097"/>
    <w:rsid w:val="00D73C10"/>
    <w:rsid w:val="00D851B6"/>
    <w:rsid w:val="00D85A37"/>
    <w:rsid w:val="00D86CC8"/>
    <w:rsid w:val="00DA2032"/>
    <w:rsid w:val="00DB09C5"/>
    <w:rsid w:val="00DB41CD"/>
    <w:rsid w:val="00DB4507"/>
    <w:rsid w:val="00DC1DF4"/>
    <w:rsid w:val="00DC3119"/>
    <w:rsid w:val="00DD3B86"/>
    <w:rsid w:val="00DD5CF1"/>
    <w:rsid w:val="00DF62E9"/>
    <w:rsid w:val="00E100A3"/>
    <w:rsid w:val="00E261F4"/>
    <w:rsid w:val="00E31764"/>
    <w:rsid w:val="00E33601"/>
    <w:rsid w:val="00E40C45"/>
    <w:rsid w:val="00E417BB"/>
    <w:rsid w:val="00E72BF1"/>
    <w:rsid w:val="00E8653F"/>
    <w:rsid w:val="00E90BE7"/>
    <w:rsid w:val="00EA150A"/>
    <w:rsid w:val="00EA5FF5"/>
    <w:rsid w:val="00EB0C51"/>
    <w:rsid w:val="00EB116A"/>
    <w:rsid w:val="00EE0668"/>
    <w:rsid w:val="00EE2408"/>
    <w:rsid w:val="00F0584D"/>
    <w:rsid w:val="00F059A2"/>
    <w:rsid w:val="00F21322"/>
    <w:rsid w:val="00F55958"/>
    <w:rsid w:val="00F61D1E"/>
    <w:rsid w:val="00F82F3B"/>
    <w:rsid w:val="00F84C80"/>
    <w:rsid w:val="00F96E08"/>
    <w:rsid w:val="00FB4121"/>
    <w:rsid w:val="00FB6369"/>
    <w:rsid w:val="00FD645E"/>
    <w:rsid w:val="00FF01C7"/>
    <w:rsid w:val="00FF1E06"/>
    <w:rsid w:val="00FF34C4"/>
    <w:rsid w:val="00FF421E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8A1"/>
  <w15:chartTrackingRefBased/>
  <w15:docId w15:val="{C05B31DB-A10D-4008-B016-DC51DC7E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53"/>
    <w:pPr>
      <w:spacing w:before="120" w:after="120" w:line="240" w:lineRule="auto"/>
      <w:jc w:val="both"/>
    </w:pPr>
    <w:rPr>
      <w:rFonts w:ascii="Arial" w:hAnsi="Arial"/>
      <w:color w:val="000000" w:themeColor="text1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6435DB"/>
    <w:pPr>
      <w:keepNext/>
      <w:keepLines/>
      <w:widowControl w:val="0"/>
      <w:pBdr>
        <w:bottom w:val="single" w:sz="4" w:space="12" w:color="4472C4" w:themeColor="accent1"/>
      </w:pBdr>
      <w:spacing w:after="0"/>
      <w:outlineLvl w:val="0"/>
    </w:pPr>
    <w:rPr>
      <w:rFonts w:ascii="Times New Roman" w:eastAsia="Times New Roman" w:hAnsi="Times New Roman"/>
      <w:color w:val="4472C4" w:themeColor="accent1"/>
      <w:kern w:val="28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35DB"/>
    <w:pPr>
      <w:keepNext/>
      <w:keepLines/>
      <w:widowControl w:val="0"/>
      <w:spacing w:before="240"/>
      <w:outlineLvl w:val="1"/>
    </w:pPr>
    <w:rPr>
      <w:rFonts w:eastAsiaTheme="majorEastAsia" w:cstheme="majorBidi"/>
      <w:b/>
      <w:color w:val="4472C4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5DB"/>
    <w:rPr>
      <w:rFonts w:ascii="Times New Roman" w:eastAsia="Times New Roman" w:hAnsi="Times New Roman"/>
      <w:color w:val="4472C4" w:themeColor="accent1"/>
      <w:kern w:val="28"/>
      <w:sz w:val="4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rsid w:val="006435DB"/>
    <w:rPr>
      <w:rFonts w:ascii="Arial" w:eastAsiaTheme="majorEastAsia" w:hAnsi="Arial" w:cstheme="majorBidi"/>
      <w:b/>
      <w:color w:val="4472C4" w:themeColor="accent1"/>
      <w:sz w:val="20"/>
      <w:szCs w:val="26"/>
      <w:lang w:val="en-GB"/>
    </w:rPr>
  </w:style>
  <w:style w:type="character" w:styleId="a3">
    <w:name w:val="Hyperlink"/>
    <w:basedOn w:val="a0"/>
    <w:uiPriority w:val="99"/>
    <w:unhideWhenUsed/>
    <w:rsid w:val="006435DB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435DB"/>
    <w:rPr>
      <w:b/>
    </w:rPr>
  </w:style>
  <w:style w:type="paragraph" w:styleId="21">
    <w:name w:val="toc 2"/>
    <w:basedOn w:val="a"/>
    <w:next w:val="a"/>
    <w:autoRedefine/>
    <w:uiPriority w:val="39"/>
    <w:unhideWhenUsed/>
    <w:rsid w:val="006435DB"/>
    <w:pPr>
      <w:spacing w:before="0" w:after="0"/>
    </w:pPr>
  </w:style>
  <w:style w:type="paragraph" w:styleId="a4">
    <w:name w:val="caption"/>
    <w:basedOn w:val="a"/>
    <w:next w:val="a"/>
    <w:uiPriority w:val="4"/>
    <w:unhideWhenUsed/>
    <w:qFormat/>
    <w:rsid w:val="006435DB"/>
    <w:pPr>
      <w:keepNext/>
      <w:spacing w:before="0" w:after="140"/>
    </w:pPr>
    <w:rPr>
      <w:rFonts w:asciiTheme="minorHAnsi" w:eastAsiaTheme="minorEastAsia" w:hAnsiTheme="minorHAnsi"/>
      <w:b/>
      <w:iCs/>
      <w:color w:val="00338D"/>
      <w:sz w:val="19"/>
      <w:szCs w:val="18"/>
      <w:lang w:val="ru-RU" w:eastAsia="zh-CN"/>
    </w:rPr>
  </w:style>
  <w:style w:type="paragraph" w:styleId="a5">
    <w:name w:val="List Number"/>
    <w:basedOn w:val="a"/>
    <w:uiPriority w:val="99"/>
    <w:unhideWhenUsed/>
    <w:qFormat/>
    <w:rsid w:val="006435DB"/>
    <w:pPr>
      <w:keepLines/>
    </w:pPr>
  </w:style>
  <w:style w:type="paragraph" w:styleId="a6">
    <w:name w:val="Body Text"/>
    <w:basedOn w:val="a"/>
    <w:link w:val="a7"/>
    <w:unhideWhenUsed/>
    <w:qFormat/>
    <w:rsid w:val="006435DB"/>
  </w:style>
  <w:style w:type="character" w:customStyle="1" w:styleId="a7">
    <w:name w:val="Основной текст Знак"/>
    <w:basedOn w:val="a0"/>
    <w:link w:val="a6"/>
    <w:rsid w:val="006435DB"/>
    <w:rPr>
      <w:rFonts w:ascii="Arial" w:hAnsi="Arial"/>
      <w:sz w:val="20"/>
      <w:szCs w:val="20"/>
      <w:lang w:val="en-GB"/>
    </w:rPr>
  </w:style>
  <w:style w:type="paragraph" w:styleId="a8">
    <w:name w:val="Subtitle"/>
    <w:basedOn w:val="a"/>
    <w:next w:val="a"/>
    <w:link w:val="a9"/>
    <w:uiPriority w:val="11"/>
    <w:qFormat/>
    <w:rsid w:val="006435DB"/>
    <w:pPr>
      <w:spacing w:after="480"/>
    </w:pPr>
    <w:rPr>
      <w:rFonts w:eastAsiaTheme="majorEastAsia" w:cstheme="majorBidi"/>
      <w:iCs/>
      <w:spacing w:val="15"/>
      <w:sz w:val="80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435DB"/>
    <w:rPr>
      <w:rFonts w:ascii="Arial" w:eastAsiaTheme="majorEastAsia" w:hAnsi="Arial" w:cstheme="majorBidi"/>
      <w:iCs/>
      <w:spacing w:val="15"/>
      <w:sz w:val="80"/>
      <w:szCs w:val="24"/>
      <w:lang w:val="en-GB"/>
    </w:rPr>
  </w:style>
  <w:style w:type="table" w:styleId="aa">
    <w:name w:val="Table Grid"/>
    <w:basedOn w:val="a1"/>
    <w:rsid w:val="006435DB"/>
    <w:pPr>
      <w:spacing w:after="0" w:line="240" w:lineRule="auto"/>
    </w:pPr>
    <w:rPr>
      <w:rFonts w:ascii="Arial" w:hAnsi="Arial"/>
      <w:sz w:val="20"/>
      <w:szCs w:val="20"/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eDoTableTextblue1">
    <w:name w:val="TeDo Table Text blue1"/>
    <w:basedOn w:val="a1"/>
    <w:uiPriority w:val="99"/>
    <w:rsid w:val="006435DB"/>
    <w:pPr>
      <w:spacing w:after="0" w:line="240" w:lineRule="auto"/>
    </w:pPr>
    <w:rPr>
      <w:rFonts w:ascii="Arial" w:hAnsi="Arial"/>
      <w:sz w:val="18"/>
      <w:szCs w:val="20"/>
      <w:lang w:val="en-GB"/>
    </w:rPr>
    <w:tblPr>
      <w:tblInd w:w="0" w:type="nil"/>
      <w:tblBorders>
        <w:insideH w:val="single" w:sz="4" w:space="0" w:color="auto"/>
      </w:tblBorders>
    </w:tblPr>
    <w:tblStylePr w:type="firstRow">
      <w:pPr>
        <w:jc w:val="left"/>
      </w:pPr>
      <w:rPr>
        <w:rFonts w:ascii="Arial" w:hAnsi="Arial" w:cs="Arial" w:hint="default"/>
        <w:b/>
        <w:color w:val="4472C4" w:themeColor="accent1"/>
        <w:sz w:val="18"/>
        <w:szCs w:val="18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  <w:tblStylePr w:type="lastRow">
      <w:rPr>
        <w:rFonts w:ascii="Arial" w:hAnsi="Arial" w:cs="Arial" w:hint="default"/>
        <w:b/>
        <w:color w:val="4472C4" w:themeColor="accent1"/>
        <w:sz w:val="18"/>
        <w:szCs w:val="18"/>
      </w:rPr>
      <w:tblPr/>
      <w:tcPr>
        <w:tcBorders>
          <w:top w:val="nil"/>
          <w:bottom w:val="single" w:sz="4" w:space="0" w:color="4472C4" w:themeColor="accent1"/>
        </w:tcBorders>
      </w:tcPr>
    </w:tblStylePr>
    <w:tblStylePr w:type="firstCol">
      <w:pPr>
        <w:jc w:val="left"/>
      </w:pPr>
    </w:tblStylePr>
  </w:style>
  <w:style w:type="table" w:customStyle="1" w:styleId="TeDoTableTextblue11">
    <w:name w:val="TeDo Table Text blue11"/>
    <w:basedOn w:val="a1"/>
    <w:uiPriority w:val="99"/>
    <w:rsid w:val="006435DB"/>
    <w:pPr>
      <w:spacing w:after="0" w:line="240" w:lineRule="auto"/>
    </w:pPr>
    <w:rPr>
      <w:rFonts w:ascii="Arial" w:hAnsi="Arial"/>
      <w:sz w:val="18"/>
      <w:szCs w:val="20"/>
      <w:lang w:val="en-GB"/>
    </w:rPr>
    <w:tblPr>
      <w:tblInd w:w="0" w:type="nil"/>
      <w:tblBorders>
        <w:insideH w:val="single" w:sz="4" w:space="0" w:color="auto"/>
      </w:tblBorders>
    </w:tblPr>
    <w:tblStylePr w:type="firstRow">
      <w:pPr>
        <w:jc w:val="left"/>
      </w:pPr>
      <w:rPr>
        <w:rFonts w:ascii="Arial" w:hAnsi="Arial" w:cs="Arial" w:hint="default"/>
        <w:b/>
        <w:color w:val="4472C4" w:themeColor="accent1"/>
        <w:sz w:val="18"/>
        <w:szCs w:val="18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  <w:tblStylePr w:type="lastRow">
      <w:rPr>
        <w:rFonts w:ascii="Arial" w:hAnsi="Arial" w:cs="Arial" w:hint="default"/>
        <w:b/>
        <w:color w:val="4472C4" w:themeColor="accent1"/>
        <w:sz w:val="18"/>
        <w:szCs w:val="18"/>
      </w:rPr>
      <w:tblPr/>
      <w:tcPr>
        <w:tcBorders>
          <w:top w:val="nil"/>
          <w:bottom w:val="single" w:sz="4" w:space="0" w:color="4472C4" w:themeColor="accent1"/>
        </w:tcBorders>
      </w:tcPr>
    </w:tblStylePr>
    <w:tblStylePr w:type="firstCol">
      <w:pPr>
        <w:jc w:val="left"/>
      </w:pPr>
    </w:tblStylePr>
  </w:style>
  <w:style w:type="paragraph" w:styleId="ab">
    <w:name w:val="List Paragraph"/>
    <w:basedOn w:val="a"/>
    <w:uiPriority w:val="34"/>
    <w:qFormat/>
    <w:rsid w:val="00DB4507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586CCD"/>
    <w:pPr>
      <w:widowControl/>
      <w:pBdr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C921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2176"/>
  </w:style>
  <w:style w:type="character" w:customStyle="1" w:styleId="af">
    <w:name w:val="Текст примечания Знак"/>
    <w:basedOn w:val="a0"/>
    <w:link w:val="ae"/>
    <w:uiPriority w:val="99"/>
    <w:semiHidden/>
    <w:rsid w:val="00C92176"/>
    <w:rPr>
      <w:rFonts w:ascii="Arial" w:hAnsi="Arial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21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2176"/>
    <w:rPr>
      <w:rFonts w:ascii="Arial" w:hAnsi="Arial"/>
      <w:b/>
      <w:bCs/>
      <w:sz w:val="20"/>
      <w:szCs w:val="20"/>
      <w:lang w:val="en-GB"/>
    </w:rPr>
  </w:style>
  <w:style w:type="paragraph" w:styleId="af2">
    <w:name w:val="Balloon Text"/>
    <w:basedOn w:val="a"/>
    <w:link w:val="af3"/>
    <w:uiPriority w:val="99"/>
    <w:semiHidden/>
    <w:unhideWhenUsed/>
    <w:rsid w:val="00C921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2176"/>
    <w:rPr>
      <w:rFonts w:ascii="Segoe UI" w:hAnsi="Segoe UI" w:cs="Segoe UI"/>
      <w:sz w:val="18"/>
      <w:szCs w:val="18"/>
      <w:lang w:val="en-GB"/>
    </w:rPr>
  </w:style>
  <w:style w:type="paragraph" w:styleId="af4">
    <w:name w:val="footnote text"/>
    <w:basedOn w:val="a"/>
    <w:link w:val="af5"/>
    <w:uiPriority w:val="99"/>
    <w:semiHidden/>
    <w:unhideWhenUsed/>
    <w:rsid w:val="00AD036A"/>
    <w:pPr>
      <w:spacing w:before="0" w:after="0"/>
    </w:pPr>
  </w:style>
  <w:style w:type="character" w:customStyle="1" w:styleId="af5">
    <w:name w:val="Текст сноски Знак"/>
    <w:basedOn w:val="a0"/>
    <w:link w:val="af4"/>
    <w:uiPriority w:val="99"/>
    <w:semiHidden/>
    <w:rsid w:val="00AD036A"/>
    <w:rPr>
      <w:rFonts w:ascii="Arial" w:hAnsi="Arial"/>
      <w:sz w:val="20"/>
      <w:szCs w:val="20"/>
      <w:lang w:val="en-GB"/>
    </w:rPr>
  </w:style>
  <w:style w:type="character" w:styleId="af6">
    <w:name w:val="footnote reference"/>
    <w:basedOn w:val="a0"/>
    <w:uiPriority w:val="99"/>
    <w:unhideWhenUsed/>
    <w:rsid w:val="00AD036A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F96E08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Верхний колонтитул Знак"/>
    <w:basedOn w:val="a0"/>
    <w:link w:val="af7"/>
    <w:uiPriority w:val="99"/>
    <w:rsid w:val="00F96E08"/>
    <w:rPr>
      <w:rFonts w:ascii="Arial" w:hAnsi="Arial"/>
      <w:sz w:val="20"/>
      <w:szCs w:val="20"/>
      <w:lang w:val="en-GB"/>
    </w:rPr>
  </w:style>
  <w:style w:type="paragraph" w:styleId="af9">
    <w:name w:val="footer"/>
    <w:basedOn w:val="a"/>
    <w:link w:val="afa"/>
    <w:uiPriority w:val="99"/>
    <w:unhideWhenUsed/>
    <w:rsid w:val="00F96E08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af9"/>
    <w:uiPriority w:val="99"/>
    <w:rsid w:val="00F96E08"/>
    <w:rPr>
      <w:rFonts w:ascii="Arial" w:hAnsi="Arial"/>
      <w:sz w:val="20"/>
      <w:szCs w:val="20"/>
      <w:lang w:val="en-GB"/>
    </w:rPr>
  </w:style>
  <w:style w:type="paragraph" w:styleId="afb">
    <w:name w:val="No Spacing"/>
    <w:uiPriority w:val="1"/>
    <w:qFormat/>
    <w:rsid w:val="00506E37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table" w:styleId="-11">
    <w:name w:val="Grid Table 1 Light Accent 1"/>
    <w:basedOn w:val="a1"/>
    <w:uiPriority w:val="46"/>
    <w:rsid w:val="00B8001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c">
    <w:name w:val="Normal (Web)"/>
    <w:basedOn w:val="a"/>
    <w:uiPriority w:val="99"/>
    <w:semiHidden/>
    <w:unhideWhenUsed/>
    <w:rsid w:val="000148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table" w:customStyle="1" w:styleId="-111">
    <w:name w:val="Таблица-сетка 1 светлая — акцент 11"/>
    <w:basedOn w:val="a1"/>
    <w:uiPriority w:val="46"/>
    <w:rsid w:val="00E417BB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d">
    <w:name w:val="Для таблиц"/>
    <w:basedOn w:val="a"/>
    <w:link w:val="afe"/>
    <w:qFormat/>
    <w:rsid w:val="00E417BB"/>
    <w:pPr>
      <w:spacing w:before="0" w:after="0"/>
    </w:pPr>
    <w:rPr>
      <w:rFonts w:ascii="Times New Roman" w:eastAsiaTheme="minorEastAsia" w:hAnsi="Times New Roman"/>
      <w:bCs/>
      <w:color w:val="auto"/>
      <w:sz w:val="22"/>
      <w:szCs w:val="22"/>
      <w:lang w:val="ru-RU" w:eastAsia="ru-RU"/>
    </w:rPr>
  </w:style>
  <w:style w:type="character" w:customStyle="1" w:styleId="afe">
    <w:name w:val="Для таблиц Знак"/>
    <w:basedOn w:val="a0"/>
    <w:link w:val="afd"/>
    <w:rsid w:val="00E417BB"/>
    <w:rPr>
      <w:rFonts w:ascii="Times New Roman" w:eastAsiaTheme="minorEastAsia" w:hAnsi="Times New Roman"/>
      <w:bCs/>
      <w:lang w:eastAsia="ru-RU"/>
    </w:rPr>
  </w:style>
  <w:style w:type="table" w:customStyle="1" w:styleId="-112">
    <w:name w:val="Таблица-сетка 1 светлая — акцент 12"/>
    <w:basedOn w:val="a1"/>
    <w:next w:val="-11"/>
    <w:uiPriority w:val="46"/>
    <w:rsid w:val="00F21322"/>
    <w:pPr>
      <w:spacing w:after="0" w:line="240" w:lineRule="auto"/>
    </w:pPr>
    <w:rPr>
      <w:rFonts w:eastAsia="Yu Mincho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1"/>
    <w:basedOn w:val="a1"/>
    <w:uiPriority w:val="46"/>
    <w:rsid w:val="00F0584D"/>
    <w:pPr>
      <w:spacing w:after="0" w:line="240" w:lineRule="auto"/>
    </w:pPr>
    <w:rPr>
      <w:rFonts w:eastAsia="Yu Mincho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07C3-3B47-4726-8C38-3338133A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Дружинин</dc:creator>
  <cp:keywords/>
  <dc:description/>
  <cp:lastModifiedBy>Владимир Радевич</cp:lastModifiedBy>
  <cp:revision>10</cp:revision>
  <dcterms:created xsi:type="dcterms:W3CDTF">2024-12-03T19:37:00Z</dcterms:created>
  <dcterms:modified xsi:type="dcterms:W3CDTF">2024-12-05T06:10:00Z</dcterms:modified>
</cp:coreProperties>
</file>