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bidi w:val="0"/>
        <w:ind w:left="0" w:right="0" w:hanging="0"/>
        <w:jc w:val="both"/>
        <w:rPr>
          <w:sz w:val="22"/>
          <w:szCs w:val="22"/>
        </w:rPr>
      </w:pPr>
      <w:r>
        <w:rPr>
          <w:rFonts w:ascii="Lucida Grande;Verdana;Arial;Helvetica;sans-serif" w:hAnsi="Lucida Grande;Verdana;Arial;Helvetica;sans-serif"/>
          <w:b/>
          <w:bCs/>
          <w:i w:val="false"/>
          <w:caps w:val="false"/>
          <w:smallCaps w:val="false"/>
          <w:color w:val="333333"/>
          <w:spacing w:val="0"/>
          <w:sz w:val="22"/>
          <w:szCs w:val="22"/>
        </w:rPr>
        <w:t>Цель:</w:t>
      </w:r>
      <w:r>
        <w:rPr>
          <w:rFonts w:ascii="Lucida Grande;Verdana;Arial;Helvetica;sans-serif" w:hAnsi="Lucida Grande;Verdana;Arial;Helvetica;sans-serif"/>
          <w:b w:val="false"/>
          <w:i w:val="false"/>
          <w:caps w:val="false"/>
          <w:smallCaps w:val="false"/>
          <w:color w:val="333333"/>
          <w:spacing w:val="0"/>
          <w:sz w:val="22"/>
          <w:szCs w:val="22"/>
        </w:rPr>
        <w:t xml:space="preserve"> Автоматический расчет вида </w:t>
      </w:r>
      <w:r>
        <w:rPr>
          <w:rFonts w:ascii="Lucida Grande;Verdana;Arial;Helvetica;sans-serif" w:hAnsi="Lucida Grande;Verdana;Arial;Helvetica;sans-serif"/>
          <w:b w:val="false"/>
          <w:i w:val="false"/>
          <w:caps w:val="false"/>
          <w:smallCaps w:val="false"/>
          <w:color w:val="333333"/>
          <w:spacing w:val="0"/>
          <w:sz w:val="22"/>
          <w:szCs w:val="22"/>
          <w:lang w:val="ru-RU"/>
        </w:rPr>
        <w:t>цены для документа «Установка цен номенклатуры» с учетом текущего прихода товара и его остатков.</w:t>
      </w:r>
    </w:p>
    <w:p>
      <w:pPr>
        <w:pStyle w:val="Normal"/>
        <w:widowControl/>
        <w:bidi w:val="0"/>
        <w:ind w:left="0" w:right="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/>
        <w:bidi w:val="0"/>
        <w:ind w:left="0" w:right="0" w:hanging="0"/>
        <w:jc w:val="both"/>
        <w:rPr>
          <w:sz w:val="22"/>
          <w:szCs w:val="22"/>
        </w:rPr>
      </w:pPr>
      <w:r>
        <w:rPr>
          <w:rFonts w:ascii="Lucida Grande;Verdana;Arial;Helvetica;sans-serif" w:hAnsi="Lucida Grande;Verdana;Arial;Helvetica;sans-serif"/>
          <w:b/>
          <w:bCs/>
          <w:i w:val="false"/>
          <w:caps w:val="false"/>
          <w:smallCaps w:val="false"/>
          <w:color w:val="333333"/>
          <w:spacing w:val="0"/>
          <w:sz w:val="22"/>
          <w:szCs w:val="22"/>
          <w:lang w:val="ru-RU"/>
        </w:rPr>
        <w:t>Используемые документы:</w:t>
      </w:r>
      <w:r>
        <w:rPr>
          <w:rFonts w:ascii="Lucida Grande;Verdana;Arial;Helvetica;sans-serif" w:hAnsi="Lucida Grande;Verdana;Arial;Helvetica;sans-serif"/>
          <w:b w:val="false"/>
          <w:i w:val="false"/>
          <w:caps w:val="false"/>
          <w:smallCaps w:val="false"/>
          <w:color w:val="333333"/>
          <w:spacing w:val="0"/>
          <w:sz w:val="22"/>
          <w:szCs w:val="22"/>
          <w:lang w:val="ru-RU"/>
        </w:rPr>
        <w:t xml:space="preserve"> Приобретение товаров и услуг (основание), Установка цен номенклатуры, Приобретение услуг и прочих активов.</w:t>
      </w:r>
    </w:p>
    <w:p>
      <w:pPr>
        <w:pStyle w:val="Normal"/>
        <w:widowControl/>
        <w:bidi w:val="0"/>
        <w:ind w:left="0" w:right="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/>
        <w:bidi w:val="0"/>
        <w:ind w:left="0" w:right="0" w:hanging="0"/>
        <w:jc w:val="both"/>
        <w:rPr>
          <w:sz w:val="22"/>
          <w:szCs w:val="22"/>
        </w:rPr>
      </w:pPr>
      <w:r>
        <w:rPr>
          <w:rFonts w:ascii="Lucida Grande;Verdana;Arial;Helvetica;sans-serif" w:hAnsi="Lucida Grande;Verdana;Arial;Helvetica;sans-serif"/>
          <w:b/>
          <w:bCs/>
          <w:i w:val="false"/>
          <w:caps w:val="false"/>
          <w:smallCaps w:val="false"/>
          <w:color w:val="333333"/>
          <w:spacing w:val="0"/>
          <w:sz w:val="22"/>
          <w:szCs w:val="22"/>
          <w:lang w:val="ru-RU"/>
        </w:rPr>
        <w:t>Конфигурация 1с:</w:t>
      </w:r>
      <w:r>
        <w:rPr>
          <w:rFonts w:ascii="Lucida Grande;Verdana;Arial;Helvetica;sans-serif" w:hAnsi="Lucida Grande;Verdana;Arial;Helvetica;sans-serif"/>
          <w:b w:val="false"/>
          <w:i w:val="false"/>
          <w:caps w:val="false"/>
          <w:smallCaps w:val="false"/>
          <w:color w:val="333333"/>
          <w:spacing w:val="0"/>
          <w:sz w:val="22"/>
          <w:szCs w:val="22"/>
          <w:lang w:val="ru-RU"/>
        </w:rPr>
        <w:t xml:space="preserve"> КА 2.5, УТ 11.5</w:t>
      </w:r>
    </w:p>
    <w:p>
      <w:pPr>
        <w:pStyle w:val="Normal"/>
        <w:widowControl/>
        <w:bidi w:val="0"/>
        <w:ind w:left="0" w:right="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/>
        <w:bidi w:val="0"/>
        <w:ind w:left="0" w:right="0" w:hanging="0"/>
        <w:jc w:val="both"/>
        <w:rPr>
          <w:sz w:val="22"/>
          <w:szCs w:val="22"/>
        </w:rPr>
      </w:pPr>
      <w:r>
        <w:rPr>
          <w:rFonts w:ascii="Lucida Grande;Verdana;Arial;Helvetica;sans-serif" w:hAnsi="Lucida Grande;Verdana;Arial;Helvetica;sans-serif"/>
          <w:b/>
          <w:bCs/>
          <w:i w:val="false"/>
          <w:caps w:val="false"/>
          <w:smallCaps w:val="false"/>
          <w:color w:val="333333"/>
          <w:spacing w:val="0"/>
          <w:sz w:val="22"/>
          <w:szCs w:val="22"/>
        </w:rPr>
        <w:t>Требования</w:t>
      </w:r>
      <w:r>
        <w:rPr>
          <w:rFonts w:ascii="Lucida Grande;Verdana;Arial;Helvetica;sans-serif" w:hAnsi="Lucida Grande;Verdana;Arial;Helvetica;sans-serif"/>
          <w:b w:val="false"/>
          <w:i w:val="false"/>
          <w:caps w:val="false"/>
          <w:smallCaps w:val="false"/>
          <w:color w:val="333333"/>
          <w:spacing w:val="0"/>
          <w:sz w:val="22"/>
          <w:szCs w:val="22"/>
        </w:rPr>
        <w:t>:</w:t>
      </w:r>
    </w:p>
    <w:p>
      <w:pPr>
        <w:pStyle w:val="Normal"/>
        <w:widowControl/>
        <w:bidi w:val="0"/>
        <w:ind w:left="0" w:right="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/>
        <w:numPr>
          <w:ilvl w:val="0"/>
          <w:numId w:val="1"/>
        </w:numPr>
        <w:tabs>
          <w:tab w:val="clear" w:pos="1134"/>
          <w:tab w:val="left" w:pos="570" w:leader="none"/>
        </w:tabs>
        <w:suppressAutoHyphens w:val="true"/>
        <w:overflowPunct w:val="false"/>
        <w:bidi w:val="0"/>
        <w:spacing w:before="0" w:after="0"/>
        <w:ind w:left="0" w:right="0" w:firstLine="283"/>
        <w:jc w:val="both"/>
        <w:rPr>
          <w:sz w:val="22"/>
          <w:szCs w:val="22"/>
        </w:rPr>
      </w:pPr>
      <w:r>
        <w:rPr>
          <w:rFonts w:ascii="Lucida Grande;Verdana;Arial;Helvetica;sans-serif" w:hAnsi="Lucida Grande;Verdana;Arial;Helvetica;sans-serif"/>
          <w:b w:val="false"/>
          <w:i w:val="false"/>
          <w:caps w:val="false"/>
          <w:smallCaps w:val="false"/>
          <w:color w:val="333333"/>
          <w:spacing w:val="0"/>
          <w:sz w:val="22"/>
          <w:szCs w:val="22"/>
        </w:rPr>
        <w:t>Создать новый вид цен (</w:t>
      </w:r>
      <w:r>
        <w:rPr>
          <w:rFonts w:ascii="Lucida Grande;Verdana;Arial;Helvetica;sans-serif" w:hAnsi="Lucida Grande;Verdana;Arial;Helvetica;sans-serif"/>
          <w:b/>
          <w:bCs/>
          <w:i w:val="false"/>
          <w:caps w:val="false"/>
          <w:smallCaps w:val="false"/>
          <w:color w:val="333333"/>
          <w:spacing w:val="0"/>
          <w:sz w:val="22"/>
          <w:szCs w:val="22"/>
        </w:rPr>
        <w:t>вспомогательная цена</w:t>
      </w:r>
      <w:r>
        <w:rPr>
          <w:rFonts w:ascii="Lucida Grande;Verdana;Arial;Helvetica;sans-serif" w:hAnsi="Lucida Grande;Verdana;Arial;Helvetica;sans-serif"/>
          <w:b w:val="false"/>
          <w:i w:val="false"/>
          <w:caps w:val="false"/>
          <w:smallCaps w:val="false"/>
          <w:color w:val="333333"/>
          <w:spacing w:val="0"/>
          <w:sz w:val="22"/>
          <w:szCs w:val="22"/>
        </w:rPr>
        <w:t xml:space="preserve"> для расчета других цен), который будет включаться в документ «Установка цен номенклатуры» (далее — УЦН) и будет использоваться для расчета других </w:t>
      </w:r>
      <w:r>
        <w:rPr>
          <w:rFonts w:ascii="Lucida Grande;Verdana;Arial;Helvetica;sans-serif" w:hAnsi="Lucida Grande;Verdana;Arial;Helvetica;sans-serif"/>
          <w:b w:val="false"/>
          <w:i w:val="false"/>
          <w:caps w:val="false"/>
          <w:smallCaps w:val="false"/>
          <w:color w:val="333333"/>
          <w:spacing w:val="0"/>
          <w:sz w:val="22"/>
          <w:szCs w:val="22"/>
        </w:rPr>
        <w:t xml:space="preserve">видов </w:t>
      </w:r>
      <w:r>
        <w:rPr>
          <w:rFonts w:ascii="Lucida Grande;Verdana;Arial;Helvetica;sans-serif" w:hAnsi="Lucida Grande;Verdana;Arial;Helvetica;sans-serif"/>
          <w:b w:val="false"/>
          <w:i w:val="false"/>
          <w:caps w:val="false"/>
          <w:smallCaps w:val="false"/>
          <w:color w:val="333333"/>
          <w:spacing w:val="0"/>
          <w:sz w:val="22"/>
          <w:szCs w:val="22"/>
        </w:rPr>
        <w:t xml:space="preserve">цен. </w:t>
      </w:r>
    </w:p>
    <w:p>
      <w:pPr>
        <w:pStyle w:val="Normal"/>
        <w:widowControl/>
        <w:numPr>
          <w:ilvl w:val="0"/>
          <w:numId w:val="1"/>
        </w:numPr>
        <w:tabs>
          <w:tab w:val="clear" w:pos="1134"/>
          <w:tab w:val="left" w:pos="570" w:leader="none"/>
        </w:tabs>
        <w:suppressAutoHyphens w:val="true"/>
        <w:overflowPunct w:val="false"/>
        <w:bidi w:val="0"/>
        <w:spacing w:before="0" w:after="0"/>
        <w:ind w:left="0" w:right="0" w:firstLine="283"/>
        <w:jc w:val="both"/>
        <w:rPr>
          <w:sz w:val="22"/>
          <w:szCs w:val="22"/>
        </w:rPr>
      </w:pPr>
      <w:r>
        <w:rPr>
          <w:rFonts w:ascii="Lucida Grande;Verdana;Arial;Helvetica;sans-serif" w:hAnsi="Lucida Grande;Verdana;Arial;Helvetica;sans-serif"/>
          <w:b w:val="false"/>
          <w:i w:val="false"/>
          <w:caps w:val="false"/>
          <w:smallCaps w:val="false"/>
          <w:color w:val="333333"/>
          <w:spacing w:val="0"/>
          <w:sz w:val="22"/>
          <w:szCs w:val="22"/>
        </w:rPr>
        <w:t>При создании документа УЦН (до сохранения и проведения) на основании документа «Приобретение товаров и услуг» (далее — ПТиУ) данный вид цен должен заполняться автоматически и учитывать текущий приход (данные документа ПТиУ) и остатки товара.</w:t>
      </w:r>
    </w:p>
    <w:p>
      <w:pPr>
        <w:pStyle w:val="Normal"/>
        <w:widowControl/>
        <w:numPr>
          <w:ilvl w:val="0"/>
          <w:numId w:val="1"/>
        </w:numPr>
        <w:tabs>
          <w:tab w:val="clear" w:pos="1134"/>
          <w:tab w:val="left" w:pos="570" w:leader="none"/>
        </w:tabs>
        <w:suppressAutoHyphens w:val="true"/>
        <w:overflowPunct w:val="false"/>
        <w:bidi w:val="0"/>
        <w:spacing w:before="0" w:after="0"/>
        <w:ind w:left="0" w:right="0" w:firstLine="283"/>
        <w:jc w:val="both"/>
        <w:rPr>
          <w:sz w:val="22"/>
          <w:szCs w:val="22"/>
        </w:rPr>
      </w:pPr>
      <w:r>
        <w:rPr>
          <w:rFonts w:ascii="Lucida Grande;Verdana;Arial;Helvetica;sans-serif" w:hAnsi="Lucida Grande;Verdana;Arial;Helvetica;sans-serif"/>
          <w:b w:val="false"/>
          <w:i w:val="false"/>
          <w:caps w:val="false"/>
          <w:smallCaps w:val="false"/>
          <w:color w:val="333333"/>
          <w:spacing w:val="0"/>
          <w:sz w:val="22"/>
          <w:szCs w:val="22"/>
        </w:rPr>
        <w:t>Алгоритм установки данного вида цен следующий:</w:t>
      </w:r>
    </w:p>
    <w:p>
      <w:pPr>
        <w:pStyle w:val="Normal"/>
        <w:widowControl/>
        <w:tabs>
          <w:tab w:val="clear" w:pos="1134"/>
          <w:tab w:val="left" w:pos="570" w:leader="none"/>
        </w:tabs>
        <w:suppressAutoHyphens w:val="true"/>
        <w:overflowPunct w:val="false"/>
        <w:bidi w:val="0"/>
        <w:spacing w:before="0" w:after="0"/>
        <w:ind w:left="0" w:right="0" w:hanging="0"/>
        <w:jc w:val="both"/>
        <w:rPr>
          <w:sz w:val="22"/>
          <w:szCs w:val="22"/>
        </w:rPr>
      </w:pPr>
      <w:r>
        <w:rPr>
          <w:rFonts w:ascii="Lucida Grande;Verdana;Arial;Helvetica;sans-serif" w:hAnsi="Lucida Grande;Verdana;Arial;Helvetica;sans-serif"/>
          <w:b w:val="false"/>
          <w:i w:val="false"/>
          <w:caps w:val="false"/>
          <w:smallCaps w:val="false"/>
          <w:color w:val="333333"/>
          <w:spacing w:val="0"/>
          <w:sz w:val="22"/>
          <w:szCs w:val="22"/>
        </w:rPr>
        <w:tab/>
        <w:t xml:space="preserve">3.1. Определить цену товару на данный момент (предыдущую цену, установленную последним документом УЦН) — </w:t>
      </w:r>
      <w:r>
        <w:rPr>
          <w:rFonts w:ascii="Lucida Grande;Verdana;Arial;Helvetica;sans-serif" w:hAnsi="Lucida Grande;Verdana;Arial;Helvetica;sans-serif"/>
          <w:b/>
          <w:bCs/>
          <w:i w:val="false"/>
          <w:caps w:val="false"/>
          <w:smallCaps w:val="false"/>
          <w:color w:val="333333"/>
          <w:spacing w:val="0"/>
          <w:sz w:val="22"/>
          <w:szCs w:val="22"/>
        </w:rPr>
        <w:t>текущая цена</w:t>
      </w:r>
      <w:r>
        <w:rPr>
          <w:rFonts w:ascii="Lucida Grande;Verdana;Arial;Helvetica;sans-serif" w:hAnsi="Lucida Grande;Verdana;Arial;Helvetica;sans-serif"/>
          <w:b w:val="false"/>
          <w:i w:val="false"/>
          <w:caps w:val="false"/>
          <w:smallCaps w:val="false"/>
          <w:color w:val="333333"/>
          <w:spacing w:val="0"/>
          <w:sz w:val="22"/>
          <w:szCs w:val="22"/>
        </w:rPr>
        <w:t>.</w:t>
      </w:r>
    </w:p>
    <w:p>
      <w:pPr>
        <w:pStyle w:val="Normal"/>
        <w:widowControl/>
        <w:tabs>
          <w:tab w:val="clear" w:pos="1134"/>
          <w:tab w:val="left" w:pos="570" w:leader="none"/>
        </w:tabs>
        <w:suppressAutoHyphens w:val="true"/>
        <w:overflowPunct w:val="false"/>
        <w:bidi w:val="0"/>
        <w:spacing w:before="0" w:after="0"/>
        <w:ind w:left="0" w:right="0" w:hanging="0"/>
        <w:jc w:val="both"/>
        <w:rPr>
          <w:sz w:val="22"/>
          <w:szCs w:val="22"/>
        </w:rPr>
      </w:pPr>
      <w:r>
        <w:rPr>
          <w:rFonts w:ascii="Lucida Grande;Verdana;Arial;Helvetica;sans-serif" w:hAnsi="Lucida Grande;Verdana;Arial;Helvetica;sans-serif"/>
          <w:b w:val="false"/>
          <w:i w:val="false"/>
          <w:caps w:val="false"/>
          <w:smallCaps w:val="false"/>
          <w:color w:val="333333"/>
          <w:spacing w:val="0"/>
          <w:sz w:val="22"/>
          <w:szCs w:val="22"/>
        </w:rPr>
        <w:tab/>
        <w:t xml:space="preserve">3.2. Рассчитать </w:t>
      </w:r>
      <w:r>
        <w:rPr>
          <w:rFonts w:ascii="Lucida Grande;Verdana;Arial;Helvetica;sans-serif" w:hAnsi="Lucida Grande;Verdana;Arial;Helvetica;sans-serif"/>
          <w:b/>
          <w:bCs/>
          <w:i w:val="false"/>
          <w:caps w:val="false"/>
          <w:smallCaps w:val="false"/>
          <w:color w:val="333333"/>
          <w:spacing w:val="0"/>
          <w:sz w:val="22"/>
          <w:szCs w:val="22"/>
        </w:rPr>
        <w:t>закупочную цену</w:t>
      </w:r>
      <w:r>
        <w:rPr>
          <w:rFonts w:ascii="Lucida Grande;Verdana;Arial;Helvetica;sans-serif" w:hAnsi="Lucida Grande;Verdana;Arial;Helvetica;sans-serif"/>
          <w:b w:val="false"/>
          <w:i w:val="false"/>
          <w:caps w:val="false"/>
          <w:smallCaps w:val="false"/>
          <w:color w:val="333333"/>
          <w:spacing w:val="0"/>
          <w:sz w:val="22"/>
          <w:szCs w:val="22"/>
        </w:rPr>
        <w:t xml:space="preserve"> товара с учетом доставки (аналитика по документу «</w:t>
      </w:r>
      <w:r>
        <w:rPr>
          <w:rFonts w:ascii="Lucida Grande;Verdana;Arial;Helvetica;sans-serif" w:hAnsi="Lucida Grande;Verdana;Arial;Helvetica;sans-serif"/>
          <w:b w:val="false"/>
          <w:i w:val="false"/>
          <w:caps w:val="false"/>
          <w:smallCaps w:val="false"/>
          <w:color w:val="333333"/>
          <w:spacing w:val="0"/>
          <w:sz w:val="22"/>
          <w:szCs w:val="22"/>
          <w:lang w:val="ru-RU"/>
        </w:rPr>
        <w:t>Приобретение услуг и прочих активов</w:t>
      </w:r>
      <w:r>
        <w:rPr>
          <w:rFonts w:ascii="Lucida Grande;Verdana;Arial;Helvetica;sans-serif" w:hAnsi="Lucida Grande;Verdana;Arial;Helvetica;sans-serif"/>
          <w:b w:val="false"/>
          <w:i w:val="false"/>
          <w:caps w:val="false"/>
          <w:smallCaps w:val="false"/>
          <w:color w:val="333333"/>
          <w:spacing w:val="0"/>
          <w:sz w:val="22"/>
          <w:szCs w:val="22"/>
        </w:rPr>
        <w:t>», как среднее по сумме) по текущему документу ПТиУ.</w:t>
      </w:r>
    </w:p>
    <w:p>
      <w:pPr>
        <w:pStyle w:val="Normal"/>
        <w:widowControl/>
        <w:tabs>
          <w:tab w:val="clear" w:pos="1134"/>
          <w:tab w:val="left" w:pos="570" w:leader="none"/>
        </w:tabs>
        <w:suppressAutoHyphens w:val="true"/>
        <w:overflowPunct w:val="false"/>
        <w:bidi w:val="0"/>
        <w:spacing w:before="0" w:after="0"/>
        <w:ind w:left="0" w:right="0" w:hanging="0"/>
        <w:jc w:val="both"/>
        <w:rPr>
          <w:sz w:val="22"/>
          <w:szCs w:val="22"/>
        </w:rPr>
      </w:pPr>
      <w:r>
        <w:rPr>
          <w:rFonts w:ascii="Lucida Grande;Verdana;Arial;Helvetica;sans-serif" w:hAnsi="Lucida Grande;Verdana;Arial;Helvetica;sans-serif"/>
          <w:b w:val="false"/>
          <w:i w:val="false"/>
          <w:caps w:val="false"/>
          <w:smallCaps w:val="false"/>
          <w:color w:val="333333"/>
          <w:spacing w:val="0"/>
          <w:sz w:val="22"/>
          <w:szCs w:val="22"/>
        </w:rPr>
        <w:tab/>
        <w:t>3.3. Если закупочная цена больше или равна текущей цене, то установить вспомогательную цену равную закупочной.</w:t>
      </w:r>
    </w:p>
    <w:p>
      <w:pPr>
        <w:pStyle w:val="Normal"/>
        <w:widowControl/>
        <w:tabs>
          <w:tab w:val="clear" w:pos="1134"/>
          <w:tab w:val="left" w:pos="570" w:leader="none"/>
        </w:tabs>
        <w:suppressAutoHyphens w:val="true"/>
        <w:overflowPunct w:val="false"/>
        <w:bidi w:val="0"/>
        <w:spacing w:before="0" w:after="0"/>
        <w:ind w:left="0" w:right="0" w:hanging="0"/>
        <w:jc w:val="both"/>
        <w:rPr>
          <w:sz w:val="22"/>
          <w:szCs w:val="22"/>
        </w:rPr>
      </w:pPr>
      <w:r>
        <w:rPr>
          <w:rFonts w:ascii="Lucida Grande;Verdana;Arial;Helvetica;sans-serif" w:hAnsi="Lucida Grande;Verdana;Arial;Helvetica;sans-serif"/>
          <w:b w:val="false"/>
          <w:i w:val="false"/>
          <w:caps w:val="false"/>
          <w:smallCaps w:val="false"/>
          <w:color w:val="333333"/>
          <w:spacing w:val="0"/>
          <w:sz w:val="22"/>
          <w:szCs w:val="22"/>
        </w:rPr>
        <w:tab/>
        <w:t>3.4. Если закупочная цена меньше текущей цены и на данный момент на складе нет остатков данного товара, то установить вспомогательную цену равной закупочной.</w:t>
      </w:r>
    </w:p>
    <w:p>
      <w:pPr>
        <w:pStyle w:val="Normal"/>
        <w:widowControl/>
        <w:tabs>
          <w:tab w:val="clear" w:pos="1134"/>
          <w:tab w:val="left" w:pos="570" w:leader="none"/>
        </w:tabs>
        <w:suppressAutoHyphens w:val="true"/>
        <w:overflowPunct w:val="false"/>
        <w:bidi w:val="0"/>
        <w:spacing w:before="0" w:after="0"/>
        <w:ind w:left="0" w:right="0" w:hanging="0"/>
        <w:jc w:val="both"/>
        <w:rPr>
          <w:sz w:val="22"/>
          <w:szCs w:val="22"/>
        </w:rPr>
      </w:pPr>
      <w:r>
        <w:rPr>
          <w:rFonts w:ascii="Lucida Grande;Verdana;Arial;Helvetica;sans-serif" w:hAnsi="Lucida Grande;Verdana;Arial;Helvetica;sans-serif"/>
          <w:b w:val="false"/>
          <w:i w:val="false"/>
          <w:caps w:val="false"/>
          <w:smallCaps w:val="false"/>
          <w:color w:val="333333"/>
          <w:spacing w:val="0"/>
          <w:sz w:val="22"/>
          <w:szCs w:val="22"/>
        </w:rPr>
        <w:tab/>
        <w:t xml:space="preserve">3.5. Если закупочная цена меньше текущей цены и на данный момент на складе есть остатки товара, то необходимо рассчитать </w:t>
      </w:r>
      <w:r>
        <w:rPr>
          <w:rFonts w:ascii="Lucida Grande;Verdana;Arial;Helvetica;sans-serif" w:hAnsi="Lucida Grande;Verdana;Arial;Helvetica;sans-serif"/>
          <w:b/>
          <w:bCs/>
          <w:i w:val="false"/>
          <w:caps w:val="false"/>
          <w:smallCaps w:val="false"/>
          <w:color w:val="333333"/>
          <w:spacing w:val="0"/>
          <w:sz w:val="22"/>
          <w:szCs w:val="22"/>
        </w:rPr>
        <w:t>среднюю цену</w:t>
      </w:r>
      <w:r>
        <w:rPr>
          <w:rFonts w:ascii="Lucida Grande;Verdana;Arial;Helvetica;sans-serif" w:hAnsi="Lucida Grande;Verdana;Arial;Helvetica;sans-serif"/>
          <w:b w:val="false"/>
          <w:i w:val="false"/>
          <w:caps w:val="false"/>
          <w:smallCaps w:val="false"/>
          <w:color w:val="333333"/>
          <w:spacing w:val="0"/>
          <w:sz w:val="22"/>
          <w:szCs w:val="22"/>
        </w:rPr>
        <w:t xml:space="preserve"> с учетом остатк</w:t>
      </w:r>
      <w:r>
        <w:rPr>
          <w:rFonts w:ascii="Lucida Grande;Verdana;Arial;Helvetica;sans-serif" w:hAnsi="Lucida Grande;Verdana;Arial;Helvetica;sans-serif"/>
          <w:b w:val="false"/>
          <w:i w:val="false"/>
          <w:caps w:val="false"/>
          <w:smallCaps w:val="false"/>
          <w:color w:val="333333"/>
          <w:spacing w:val="0"/>
          <w:sz w:val="22"/>
          <w:szCs w:val="22"/>
        </w:rPr>
        <w:t>а</w:t>
      </w:r>
      <w:r>
        <w:rPr>
          <w:rFonts w:ascii="Lucida Grande;Verdana;Arial;Helvetica;sans-serif" w:hAnsi="Lucida Grande;Verdana;Arial;Helvetica;sans-serif"/>
          <w:b w:val="false"/>
          <w:i w:val="false"/>
          <w:caps w:val="false"/>
          <w:smallCaps w:val="false"/>
          <w:color w:val="333333"/>
          <w:spacing w:val="0"/>
          <w:sz w:val="22"/>
          <w:szCs w:val="22"/>
        </w:rPr>
        <w:t xml:space="preserve"> и приход</w:t>
      </w:r>
      <w:r>
        <w:rPr>
          <w:rFonts w:ascii="Lucida Grande;Verdana;Arial;Helvetica;sans-serif" w:hAnsi="Lucida Grande;Verdana;Arial;Helvetica;sans-serif"/>
          <w:b w:val="false"/>
          <w:i w:val="false"/>
          <w:caps w:val="false"/>
          <w:smallCaps w:val="false"/>
          <w:color w:val="333333"/>
          <w:spacing w:val="0"/>
          <w:sz w:val="22"/>
          <w:szCs w:val="22"/>
        </w:rPr>
        <w:t>а</w:t>
      </w:r>
      <w:r>
        <w:rPr>
          <w:rFonts w:ascii="Lucida Grande;Verdana;Arial;Helvetica;sans-serif" w:hAnsi="Lucida Grande;Verdana;Arial;Helvetica;sans-serif"/>
          <w:b w:val="false"/>
          <w:i w:val="false"/>
          <w:caps w:val="false"/>
          <w:smallCaps w:val="false"/>
          <w:color w:val="333333"/>
          <w:spacing w:val="0"/>
          <w:sz w:val="22"/>
          <w:szCs w:val="22"/>
        </w:rPr>
        <w:t>. Установить вспомогательную цену равную средней цене.</w:t>
      </w:r>
    </w:p>
    <w:p>
      <w:pPr>
        <w:pStyle w:val="Normal"/>
        <w:widowControl/>
        <w:tabs>
          <w:tab w:val="clear" w:pos="1134"/>
          <w:tab w:val="left" w:pos="570" w:leader="none"/>
        </w:tabs>
        <w:suppressAutoHyphens w:val="true"/>
        <w:overflowPunct w:val="false"/>
        <w:bidi w:val="0"/>
        <w:spacing w:before="0" w:after="0"/>
        <w:ind w:left="0" w:right="0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/>
        <w:tabs>
          <w:tab w:val="clear" w:pos="1134"/>
          <w:tab w:val="left" w:pos="570" w:leader="none"/>
        </w:tabs>
        <w:suppressAutoHyphens w:val="true"/>
        <w:overflowPunct w:val="false"/>
        <w:bidi w:val="0"/>
        <w:spacing w:before="0" w:after="0"/>
        <w:ind w:left="0" w:right="0" w:firstLine="283"/>
        <w:jc w:val="both"/>
        <w:rPr>
          <w:b/>
          <w:b/>
          <w:bCs/>
          <w:sz w:val="22"/>
          <w:szCs w:val="22"/>
        </w:rPr>
      </w:pPr>
      <w:r>
        <w:rPr>
          <w:rFonts w:ascii="Lucida Grande;Verdana;Arial;Helvetica;sans-serif" w:hAnsi="Lucida Grande;Verdana;Arial;Helvetica;sans-serif"/>
          <w:b/>
          <w:bCs/>
          <w:i w:val="false"/>
          <w:caps w:val="false"/>
          <w:smallCaps w:val="false"/>
          <w:color w:val="333333"/>
          <w:spacing w:val="0"/>
          <w:sz w:val="22"/>
          <w:szCs w:val="22"/>
        </w:rPr>
        <w:t>Пример для товара:</w:t>
      </w:r>
    </w:p>
    <w:p>
      <w:pPr>
        <w:pStyle w:val="Normal"/>
        <w:widowControl/>
        <w:tabs>
          <w:tab w:val="clear" w:pos="1134"/>
          <w:tab w:val="left" w:pos="570" w:leader="none"/>
        </w:tabs>
        <w:suppressAutoHyphens w:val="true"/>
        <w:overflowPunct w:val="false"/>
        <w:bidi w:val="0"/>
        <w:spacing w:before="0" w:after="0"/>
        <w:ind w:left="0" w:right="0" w:firstLine="283"/>
        <w:jc w:val="both"/>
        <w:rPr>
          <w:rFonts w:ascii="Lucida Grande;Verdana;Arial;Helvetica;sans-serif" w:hAnsi="Lucida Grande;Verdana;Arial;Helvetica;sans-serif"/>
          <w:i w:val="false"/>
          <w:i w:val="false"/>
          <w:caps w:val="false"/>
          <w:smallCaps w:val="false"/>
          <w:color w:val="333333"/>
          <w:spacing w:val="0"/>
        </w:rPr>
      </w:pPr>
      <w:r>
        <w:rPr>
          <w:b/>
          <w:bCs/>
          <w:sz w:val="22"/>
          <w:szCs w:val="22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6"/>
        <w:gridCol w:w="2666"/>
        <w:gridCol w:w="1984"/>
        <w:gridCol w:w="1927"/>
        <w:gridCol w:w="1985"/>
        <w:gridCol w:w="4312"/>
      </w:tblGrid>
      <w:tr>
        <w:trPr/>
        <w:tc>
          <w:tcPr>
            <w:tcW w:w="1696" w:type="dxa"/>
            <w:tcBorders/>
          </w:tcPr>
          <w:p>
            <w:pPr>
              <w:pStyle w:val="Style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</w:t>
            </w:r>
          </w:p>
        </w:tc>
        <w:tc>
          <w:tcPr>
            <w:tcW w:w="2666" w:type="dxa"/>
            <w:tcBorders/>
          </w:tcPr>
          <w:p>
            <w:pPr>
              <w:pStyle w:val="Style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остаток</w:t>
            </w:r>
          </w:p>
        </w:tc>
        <w:tc>
          <w:tcPr>
            <w:tcW w:w="1984" w:type="dxa"/>
            <w:tcBorders/>
          </w:tcPr>
          <w:p>
            <w:pPr>
              <w:pStyle w:val="Style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Текущая цена</w:t>
            </w:r>
          </w:p>
        </w:tc>
        <w:tc>
          <w:tcPr>
            <w:tcW w:w="1927" w:type="dxa"/>
            <w:tcBorders/>
          </w:tcPr>
          <w:p>
            <w:pPr>
              <w:pStyle w:val="Style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приход</w:t>
            </w:r>
          </w:p>
        </w:tc>
        <w:tc>
          <w:tcPr>
            <w:tcW w:w="1985" w:type="dxa"/>
            <w:tcBorders/>
          </w:tcPr>
          <w:p>
            <w:pPr>
              <w:pStyle w:val="Style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Закупочная цена </w:t>
            </w:r>
            <w:r>
              <w:rPr>
                <w:sz w:val="22"/>
                <w:szCs w:val="22"/>
              </w:rPr>
              <w:t>с учетом доставки</w:t>
            </w:r>
          </w:p>
        </w:tc>
        <w:tc>
          <w:tcPr>
            <w:tcW w:w="4312" w:type="dxa"/>
            <w:tcBorders/>
          </w:tcPr>
          <w:p>
            <w:pPr>
              <w:pStyle w:val="Style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Вспомогательная цена</w:t>
            </w:r>
          </w:p>
        </w:tc>
      </w:tr>
      <w:tr>
        <w:trPr/>
        <w:tc>
          <w:tcPr>
            <w:tcW w:w="1696" w:type="dxa"/>
            <w:tcBorders/>
          </w:tcPr>
          <w:p>
            <w:pPr>
              <w:pStyle w:val="Style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15.07.2022</w:t>
            </w:r>
          </w:p>
        </w:tc>
        <w:tc>
          <w:tcPr>
            <w:tcW w:w="2666" w:type="dxa"/>
            <w:tcBorders/>
          </w:tcPr>
          <w:p>
            <w:pPr>
              <w:pStyle w:val="Style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tcBorders/>
          </w:tcPr>
          <w:p>
            <w:pPr>
              <w:pStyle w:val="Style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27" w:type="dxa"/>
            <w:tcBorders/>
          </w:tcPr>
          <w:p>
            <w:pPr>
              <w:pStyle w:val="Style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985" w:type="dxa"/>
            <w:tcBorders/>
          </w:tcPr>
          <w:p>
            <w:pPr>
              <w:pStyle w:val="Style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312" w:type="dxa"/>
            <w:tcBorders/>
          </w:tcPr>
          <w:p>
            <w:pPr>
              <w:pStyle w:val="Style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>
        <w:trPr/>
        <w:tc>
          <w:tcPr>
            <w:tcW w:w="1696" w:type="dxa"/>
            <w:tcBorders/>
          </w:tcPr>
          <w:p>
            <w:pPr>
              <w:pStyle w:val="Style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25.07.2022</w:t>
            </w:r>
          </w:p>
        </w:tc>
        <w:tc>
          <w:tcPr>
            <w:tcW w:w="2666" w:type="dxa"/>
            <w:tcBorders/>
          </w:tcPr>
          <w:p>
            <w:pPr>
              <w:pStyle w:val="Style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984" w:type="dxa"/>
            <w:tcBorders/>
          </w:tcPr>
          <w:p>
            <w:pPr>
              <w:pStyle w:val="Style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27" w:type="dxa"/>
            <w:tcBorders/>
          </w:tcPr>
          <w:p>
            <w:pPr>
              <w:pStyle w:val="Style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985" w:type="dxa"/>
            <w:tcBorders/>
          </w:tcPr>
          <w:p>
            <w:pPr>
              <w:pStyle w:val="Style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312" w:type="dxa"/>
            <w:tcBorders/>
          </w:tcPr>
          <w:p>
            <w:pPr>
              <w:pStyle w:val="Style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>
        <w:trPr/>
        <w:tc>
          <w:tcPr>
            <w:tcW w:w="1696" w:type="dxa"/>
            <w:tcBorders/>
          </w:tcPr>
          <w:p>
            <w:pPr>
              <w:pStyle w:val="Style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29.07.2022</w:t>
            </w:r>
          </w:p>
        </w:tc>
        <w:tc>
          <w:tcPr>
            <w:tcW w:w="2666" w:type="dxa"/>
            <w:tcBorders/>
          </w:tcPr>
          <w:p>
            <w:pPr>
              <w:pStyle w:val="Style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1984" w:type="dxa"/>
            <w:tcBorders/>
          </w:tcPr>
          <w:p>
            <w:pPr>
              <w:pStyle w:val="Style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27" w:type="dxa"/>
            <w:tcBorders/>
          </w:tcPr>
          <w:p>
            <w:pPr>
              <w:pStyle w:val="Style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985" w:type="dxa"/>
            <w:tcBorders/>
          </w:tcPr>
          <w:p>
            <w:pPr>
              <w:pStyle w:val="Style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312" w:type="dxa"/>
            <w:tcBorders/>
          </w:tcPr>
          <w:p>
            <w:pPr>
              <w:pStyle w:val="Style21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9,76</w:t>
            </w:r>
          </w:p>
        </w:tc>
      </w:tr>
      <w:tr>
        <w:trPr/>
        <w:tc>
          <w:tcPr>
            <w:tcW w:w="1696" w:type="dxa"/>
            <w:tcBorders/>
          </w:tcPr>
          <w:p>
            <w:pPr>
              <w:pStyle w:val="Style21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04.08.2022</w:t>
            </w:r>
          </w:p>
        </w:tc>
        <w:tc>
          <w:tcPr>
            <w:tcW w:w="2666" w:type="dxa"/>
            <w:tcBorders/>
          </w:tcPr>
          <w:p>
            <w:pPr>
              <w:pStyle w:val="Style21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</w:t>
            </w:r>
          </w:p>
        </w:tc>
        <w:tc>
          <w:tcPr>
            <w:tcW w:w="1984" w:type="dxa"/>
            <w:tcBorders/>
          </w:tcPr>
          <w:p>
            <w:pPr>
              <w:pStyle w:val="Style21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9,76</w:t>
            </w:r>
          </w:p>
        </w:tc>
        <w:tc>
          <w:tcPr>
            <w:tcW w:w="1927" w:type="dxa"/>
            <w:tcBorders/>
          </w:tcPr>
          <w:p>
            <w:pPr>
              <w:pStyle w:val="Style21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</w:t>
            </w:r>
          </w:p>
        </w:tc>
        <w:tc>
          <w:tcPr>
            <w:tcW w:w="1985" w:type="dxa"/>
            <w:tcBorders/>
          </w:tcPr>
          <w:p>
            <w:pPr>
              <w:pStyle w:val="Style21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4312" w:type="dxa"/>
            <w:tcBorders/>
          </w:tcPr>
          <w:p>
            <w:pPr>
              <w:pStyle w:val="Style21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5,92</w:t>
            </w:r>
          </w:p>
        </w:tc>
      </w:tr>
    </w:tbl>
    <w:p>
      <w:pPr>
        <w:pStyle w:val="Normal"/>
        <w:widowControl/>
        <w:tabs>
          <w:tab w:val="clear" w:pos="1134"/>
          <w:tab w:val="left" w:pos="570" w:leader="none"/>
        </w:tabs>
        <w:suppressAutoHyphens w:val="true"/>
        <w:overflowPunct w:val="false"/>
        <w:bidi w:val="0"/>
        <w:spacing w:before="0" w:after="0"/>
        <w:ind w:left="0" w:right="0" w:firstLine="283"/>
        <w:jc w:val="both"/>
        <w:rPr>
          <w:rFonts w:ascii="Lucida Grande;Verdana;Arial;Helvetica;sans-serif" w:hAnsi="Lucida Grande;Verdana;Arial;Helvetica;sans-serif"/>
          <w:i w:val="false"/>
          <w:i w:val="false"/>
          <w:caps w:val="false"/>
          <w:smallCaps w:val="false"/>
          <w:color w:val="333333"/>
          <w:spacing w:val="0"/>
        </w:rPr>
      </w:pPr>
      <w:r>
        <w:rPr>
          <w:b/>
          <w:bCs/>
          <w:sz w:val="22"/>
          <w:szCs w:val="22"/>
        </w:rPr>
      </w:r>
    </w:p>
    <w:p>
      <w:pPr>
        <w:pStyle w:val="Normal"/>
        <w:widowControl/>
        <w:tabs>
          <w:tab w:val="clear" w:pos="1134"/>
          <w:tab w:val="left" w:pos="570" w:leader="none"/>
        </w:tabs>
        <w:suppressAutoHyphens w:val="true"/>
        <w:overflowPunct w:val="false"/>
        <w:bidi w:val="0"/>
        <w:spacing w:before="0" w:after="0"/>
        <w:ind w:left="0" w:right="0" w:firstLine="283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ucida Grande">
    <w:altName w:val="Verdana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1134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Segoe UI" w:cs="Tahoma"/>
      <w:color w:val="000000"/>
      <w:kern w:val="0"/>
      <w:sz w:val="24"/>
      <w:szCs w:val="24"/>
      <w:lang w:val="ru-RU" w:eastAsia="zh-CN" w:bidi="hi-IN"/>
    </w:rPr>
  </w:style>
  <w:style w:type="character" w:styleId="Style14">
    <w:name w:val="Символ нумерации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283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0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107</TotalTime>
  <Application>LibreOffice/7.3.5.2$Windows_X86_64 LibreOffice_project/184fe81b8c8c30d8b5082578aee2fed2ea847c01</Application>
  <AppVersion>15.0000</AppVersion>
  <Pages>1</Pages>
  <Words>258</Words>
  <Characters>1531</Characters>
  <CharactersWithSpaces>1752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2022-08-18T10:33:05Z</cp:lastPrinted>
  <dcterms:modified xsi:type="dcterms:W3CDTF">2022-08-18T10:52:58Z</dcterms:modified>
  <cp:revision>40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