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C6" w:rsidRPr="009519C6" w:rsidRDefault="009519C6" w:rsidP="009519C6">
      <w:p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  <w:r w:rsidRPr="009519C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Назначение и цели доработки</w:t>
      </w:r>
    </w:p>
    <w:p w:rsidR="009519C6" w:rsidRPr="009519C6" w:rsidRDefault="009519C6" w:rsidP="00760D0F">
      <w:pPr>
        <w:shd w:val="clear" w:color="auto" w:fill="FFFFFF"/>
        <w:spacing w:after="125" w:line="240" w:lineRule="auto"/>
        <w:ind w:firstLine="708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519C6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Функционал для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переноса </w:t>
      </w:r>
      <w:r w:rsidR="00B4530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и изменения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данных по объектам ремонта из </w:t>
      </w:r>
      <w:r w:rsidR="00AE1643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Источника данных</w:t>
      </w:r>
      <w:bookmarkStart w:id="0" w:name="_GoBack"/>
      <w:bookmarkEnd w:id="0"/>
      <w:r w:rsidRPr="009519C6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в </w:t>
      </w:r>
      <w:r w:rsidR="000C1D64" w:rsidRPr="000C1D6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1С:ERP Управление предприятием 2 (2.4.12.75)</w:t>
      </w:r>
      <w:r w:rsidR="000C1D6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(далее </w:t>
      </w:r>
      <w:r w:rsidR="000C1D64" w:rsidRPr="000C1D6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1С:ERP</w:t>
      </w:r>
      <w:r w:rsidR="000C1D6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)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. </w:t>
      </w:r>
      <w:r w:rsidRPr="009519C6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И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сточник данных – файл формата «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xml</w:t>
      </w:r>
      <w:proofErr w:type="spellEnd"/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», приемник объект 1С «узел объекта эксплуатации». Необходимо формировать узлы объекта эксплуатации в 1С:ERP</w:t>
      </w:r>
      <w:r w:rsidR="00760D0F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либо менять значения реквизитов узла по данным из файла.</w:t>
      </w:r>
    </w:p>
    <w:p w:rsidR="009519C6" w:rsidRPr="009519C6" w:rsidRDefault="009519C6" w:rsidP="00760D0F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519C6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Функционал </w:t>
      </w:r>
      <w:r w:rsidR="00760D0F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должен быть реализован в виде внешней обработки с возможностью запуска его как регламентного задания.</w:t>
      </w:r>
    </w:p>
    <w:p w:rsidR="009519C6" w:rsidRDefault="009519C6" w:rsidP="009519C6">
      <w:p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  <w:r w:rsidRPr="009519C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Описание доработки</w:t>
      </w:r>
    </w:p>
    <w:p w:rsidR="00760D0F" w:rsidRDefault="00760D0F" w:rsidP="00760D0F">
      <w:pPr>
        <w:pStyle w:val="a6"/>
        <w:numPr>
          <w:ilvl w:val="0"/>
          <w:numId w:val="1"/>
        </w:num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Описание файла-источника.</w:t>
      </w:r>
    </w:p>
    <w:p w:rsidR="00760D0F" w:rsidRDefault="00760D0F" w:rsidP="00760D0F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Файл-источник формата «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  <w:t>xml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» имеет следующую структуру</w:t>
      </w:r>
    </w:p>
    <w:p w:rsid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</w:pPr>
      <w:proofErr w:type="gramStart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  <w:t>&lt;?xml</w:t>
      </w:r>
      <w:proofErr w:type="gram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  <w:t xml:space="preserve"> version="1.0" encoding="UTF-8"?&gt;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  <w:t>&lt;Data&gt;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val="en-US" w:eastAsia="ru-RU"/>
        </w:rPr>
        <w:t xml:space="preserve"> </w:t>
      </w: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&lt;</w:t>
      </w:r>
      <w:proofErr w:type="spellStart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ОбъектыРемонта</w:t>
      </w:r>
      <w:proofErr w:type="spell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&gt;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&lt;ОР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</w:t>
      </w:r>
      <w:r w:rsidRPr="005310B0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Наименование</w:t>
      </w: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=  "Наименование ОР" 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</w:t>
      </w:r>
      <w:proofErr w:type="spellStart"/>
      <w:r w:rsidRPr="005310B0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ПолноеНаименование</w:t>
      </w:r>
      <w:proofErr w:type="spell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="Полное наименование ОР" 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</w:t>
      </w:r>
      <w:r w:rsidRPr="005310B0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Код</w:t>
      </w: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="</w:t>
      </w:r>
      <w:r w:rsidR="00BC18C6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серийный номер</w:t>
      </w: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"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</w:t>
      </w:r>
      <w:proofErr w:type="spellStart"/>
      <w:r w:rsidRPr="005310B0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ИнвНомер</w:t>
      </w:r>
      <w:proofErr w:type="spell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="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инвентарный номер</w:t>
      </w: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"</w:t>
      </w:r>
    </w:p>
    <w:p w:rsidR="00561D9E" w:rsidRPr="005310B0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 </w:t>
      </w:r>
      <w:r w:rsidRPr="005310B0"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  <w:t>&lt;</w:t>
      </w:r>
      <w:proofErr w:type="spellStart"/>
      <w:r w:rsidRPr="005310B0"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  <w:t>ОсновноеСредство</w:t>
      </w:r>
      <w:proofErr w:type="spellEnd"/>
      <w:r w:rsidRPr="005310B0"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  <w:t>&gt;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   </w:t>
      </w:r>
      <w:r w:rsidRPr="005310B0">
        <w:rPr>
          <w:rFonts w:ascii="Verdana" w:eastAsia="Times New Roman" w:hAnsi="Verdana" w:cs="Times New Roman"/>
          <w:bCs/>
          <w:i/>
          <w:color w:val="333333"/>
          <w:sz w:val="19"/>
          <w:szCs w:val="19"/>
          <w:lang w:eastAsia="ru-RU"/>
        </w:rPr>
        <w:t>&lt;ОС Подразделение</w:t>
      </w: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="</w:t>
      </w:r>
      <w:proofErr w:type="spellStart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Ответсвенное</w:t>
      </w:r>
      <w:proofErr w:type="spell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подразделение"/&gt; </w:t>
      </w:r>
    </w:p>
    <w:p w:rsidR="00561D9E" w:rsidRPr="005310B0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  </w:t>
      </w:r>
      <w:r w:rsidRPr="005310B0"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  <w:t>&lt;/</w:t>
      </w:r>
      <w:proofErr w:type="spellStart"/>
      <w:r w:rsidRPr="005310B0"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  <w:t>ОсновноеСредство</w:t>
      </w:r>
      <w:proofErr w:type="spellEnd"/>
      <w:r w:rsidRPr="005310B0">
        <w:rPr>
          <w:rFonts w:ascii="Verdana" w:eastAsia="Times New Roman" w:hAnsi="Verdana" w:cs="Times New Roman"/>
          <w:b/>
          <w:bCs/>
          <w:i/>
          <w:color w:val="333333"/>
          <w:sz w:val="19"/>
          <w:szCs w:val="19"/>
          <w:lang w:eastAsia="ru-RU"/>
        </w:rPr>
        <w:t>&gt;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 /&gt;</w:t>
      </w:r>
    </w:p>
    <w:p w:rsidR="00561D9E" w:rsidRP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&lt;/</w:t>
      </w:r>
      <w:proofErr w:type="spellStart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ОбъектыРемонта</w:t>
      </w:r>
      <w:proofErr w:type="spell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&gt;</w:t>
      </w:r>
    </w:p>
    <w:p w:rsidR="00760D0F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&lt;/</w:t>
      </w:r>
      <w:proofErr w:type="spellStart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Data</w:t>
      </w:r>
      <w:proofErr w:type="spellEnd"/>
      <w:r w:rsidRPr="00561D9E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&gt;</w:t>
      </w:r>
    </w:p>
    <w:p w:rsid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561D9E" w:rsidRDefault="00561D9E" w:rsidP="00760D0F">
      <w:pPr>
        <w:pStyle w:val="a6"/>
        <w:numPr>
          <w:ilvl w:val="0"/>
          <w:numId w:val="1"/>
        </w:num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Ключевые поля для идентификации:</w:t>
      </w:r>
    </w:p>
    <w:p w:rsid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объекта эксплуатации – инвентарный номер</w:t>
      </w:r>
    </w:p>
    <w:p w:rsid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 объекта ремонта – </w:t>
      </w:r>
      <w:r w:rsidR="00BC18C6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серийный номер</w:t>
      </w:r>
    </w:p>
    <w:p w:rsidR="00B45305" w:rsidRDefault="00B45305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B45305" w:rsidRDefault="00B45305" w:rsidP="00B45305">
      <w:pPr>
        <w:pStyle w:val="a6"/>
        <w:numPr>
          <w:ilvl w:val="0"/>
          <w:numId w:val="1"/>
        </w:num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Необходимо вести текстовый лог-файл обработки данных. Лог-файл формируется один на день, с указанием даты и должен содержать перечень добавленных и измененных  объектов ремонта с результатом выполнения обработки.</w:t>
      </w:r>
    </w:p>
    <w:p w:rsidR="00B45305" w:rsidRDefault="00B45305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760D0F" w:rsidRDefault="00561D9E" w:rsidP="00760D0F">
      <w:pPr>
        <w:pStyle w:val="a6"/>
        <w:numPr>
          <w:ilvl w:val="0"/>
          <w:numId w:val="1"/>
        </w:num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По </w:t>
      </w:r>
      <w:r w:rsidR="00756A9D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исходным 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данным должен быть сформирован </w:t>
      </w:r>
      <w:r w:rsidR="005310B0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или изменен 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узел объекта эксплуатации.</w:t>
      </w:r>
      <w:r w:rsidR="00B45305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 xml:space="preserve">В случае если объект эксплуатации не найден, вывести ошибку в лог-файл. </w:t>
      </w:r>
    </w:p>
    <w:p w:rsidR="00561D9E" w:rsidRDefault="00561D9E" w:rsidP="00561D9E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561D9E" w:rsidRDefault="00756A9D" w:rsidP="00760D0F">
      <w:pPr>
        <w:pStyle w:val="a6"/>
        <w:numPr>
          <w:ilvl w:val="0"/>
          <w:numId w:val="1"/>
        </w:num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Поля для заполнения</w:t>
      </w:r>
      <w:r w:rsidR="00BE1D3A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/изменения</w:t>
      </w:r>
      <w:r w:rsidR="005310B0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:</w:t>
      </w:r>
    </w:p>
    <w:tbl>
      <w:tblPr>
        <w:tblStyle w:val="a7"/>
        <w:tblW w:w="8516" w:type="dxa"/>
        <w:tblInd w:w="720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756A9D" w:rsidTr="00756A9D">
        <w:tc>
          <w:tcPr>
            <w:tcW w:w="4258" w:type="dxa"/>
          </w:tcPr>
          <w:p w:rsidR="00756A9D" w:rsidRPr="005310B0" w:rsidRDefault="00756A9D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val="en-US" w:eastAsia="ru-RU"/>
              </w:rPr>
              <w:t>1C:ERP</w:t>
            </w:r>
          </w:p>
        </w:tc>
        <w:tc>
          <w:tcPr>
            <w:tcW w:w="4258" w:type="dxa"/>
          </w:tcPr>
          <w:p w:rsidR="00756A9D" w:rsidRPr="00756A9D" w:rsidRDefault="00756A9D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 xml:space="preserve">Файл </w:t>
            </w: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xml</w:t>
            </w:r>
            <w:proofErr w:type="spellEnd"/>
          </w:p>
        </w:tc>
      </w:tr>
      <w:tr w:rsidR="00756A9D" w:rsidTr="00756A9D">
        <w:tc>
          <w:tcPr>
            <w:tcW w:w="4258" w:type="dxa"/>
          </w:tcPr>
          <w:p w:rsidR="00756A9D" w:rsidRDefault="00756A9D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Наименование узла</w:t>
            </w:r>
          </w:p>
        </w:tc>
        <w:tc>
          <w:tcPr>
            <w:tcW w:w="4258" w:type="dxa"/>
          </w:tcPr>
          <w:p w:rsidR="00756A9D" w:rsidRPr="005310B0" w:rsidRDefault="00756A9D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val="en-US" w:eastAsia="ru-RU"/>
              </w:rPr>
              <w:t>Наименование</w:t>
            </w:r>
            <w:proofErr w:type="spellEnd"/>
          </w:p>
        </w:tc>
      </w:tr>
      <w:tr w:rsidR="00756A9D" w:rsidTr="00756A9D">
        <w:tc>
          <w:tcPr>
            <w:tcW w:w="4258" w:type="dxa"/>
          </w:tcPr>
          <w:p w:rsidR="00756A9D" w:rsidRDefault="00756A9D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Полное наименование узла</w:t>
            </w:r>
          </w:p>
        </w:tc>
        <w:tc>
          <w:tcPr>
            <w:tcW w:w="4258" w:type="dxa"/>
          </w:tcPr>
          <w:p w:rsidR="00756A9D" w:rsidRDefault="00756A9D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ПолноеНаименование</w:t>
            </w:r>
            <w:proofErr w:type="spellEnd"/>
          </w:p>
        </w:tc>
      </w:tr>
      <w:tr w:rsidR="00756A9D" w:rsidTr="00756A9D">
        <w:tc>
          <w:tcPr>
            <w:tcW w:w="4258" w:type="dxa"/>
          </w:tcPr>
          <w:p w:rsidR="00756A9D" w:rsidRDefault="00756A9D" w:rsidP="00BC18C6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Серийный номер</w:t>
            </w:r>
          </w:p>
        </w:tc>
        <w:tc>
          <w:tcPr>
            <w:tcW w:w="4258" w:type="dxa"/>
          </w:tcPr>
          <w:p w:rsidR="00756A9D" w:rsidRDefault="00756A9D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Код</w:t>
            </w:r>
          </w:p>
        </w:tc>
      </w:tr>
      <w:tr w:rsidR="00756A9D" w:rsidTr="00756A9D">
        <w:tc>
          <w:tcPr>
            <w:tcW w:w="4258" w:type="dxa"/>
          </w:tcPr>
          <w:p w:rsidR="00756A9D" w:rsidRDefault="00756A9D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 xml:space="preserve">Инвентарный номер ОС, к которому привязан узел </w:t>
            </w:r>
          </w:p>
        </w:tc>
        <w:tc>
          <w:tcPr>
            <w:tcW w:w="4258" w:type="dxa"/>
          </w:tcPr>
          <w:p w:rsidR="00756A9D" w:rsidRDefault="00756A9D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ИнвНомер</w:t>
            </w:r>
            <w:proofErr w:type="spellEnd"/>
          </w:p>
        </w:tc>
      </w:tr>
      <w:tr w:rsidR="00756A9D" w:rsidTr="00756A9D">
        <w:tc>
          <w:tcPr>
            <w:tcW w:w="4258" w:type="dxa"/>
          </w:tcPr>
          <w:p w:rsidR="00756A9D" w:rsidRPr="00C96C00" w:rsidRDefault="00C96C00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val="en-US" w:eastAsia="ru-RU"/>
              </w:rPr>
              <w:t>Класс</w:t>
            </w:r>
            <w:proofErr w:type="spellEnd"/>
          </w:p>
        </w:tc>
        <w:tc>
          <w:tcPr>
            <w:tcW w:w="4258" w:type="dxa"/>
          </w:tcPr>
          <w:p w:rsidR="00756A9D" w:rsidRDefault="00C96C00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По умолчанию элемент справочника с наименованием «</w:t>
            </w:r>
            <w:r w:rsidRPr="00BC18C6"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Объекты ремонта</w:t>
            </w: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»</w:t>
            </w:r>
          </w:p>
        </w:tc>
      </w:tr>
      <w:tr w:rsidR="00756A9D" w:rsidTr="00756A9D">
        <w:tc>
          <w:tcPr>
            <w:tcW w:w="4258" w:type="dxa"/>
          </w:tcPr>
          <w:p w:rsidR="00756A9D" w:rsidRDefault="00C96C00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Статья расходов на ремонт</w:t>
            </w:r>
          </w:p>
        </w:tc>
        <w:tc>
          <w:tcPr>
            <w:tcW w:w="4258" w:type="dxa"/>
          </w:tcPr>
          <w:p w:rsidR="00756A9D" w:rsidRDefault="00C96C00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По умолчанию элемент справочника с наименованием «</w:t>
            </w:r>
            <w:r w:rsidRPr="00BC18C6"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Ремонт ОС</w:t>
            </w: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»</w:t>
            </w:r>
          </w:p>
        </w:tc>
      </w:tr>
      <w:tr w:rsidR="00756A9D" w:rsidTr="00756A9D">
        <w:tc>
          <w:tcPr>
            <w:tcW w:w="4258" w:type="dxa"/>
          </w:tcPr>
          <w:p w:rsidR="00756A9D" w:rsidRDefault="00756A9D" w:rsidP="005310B0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Ответственное подразделение в справочнике «Объекты эксплуатации»</w:t>
            </w:r>
          </w:p>
        </w:tc>
        <w:tc>
          <w:tcPr>
            <w:tcW w:w="4258" w:type="dxa"/>
          </w:tcPr>
          <w:p w:rsidR="00756A9D" w:rsidRDefault="00756A9D" w:rsidP="007B1198">
            <w:pPr>
              <w:pStyle w:val="a6"/>
              <w:spacing w:before="125" w:after="125"/>
              <w:ind w:left="0"/>
              <w:outlineLvl w:val="1"/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ОсновноеСредство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333333"/>
                <w:sz w:val="19"/>
                <w:szCs w:val="19"/>
                <w:lang w:eastAsia="ru-RU"/>
              </w:rPr>
              <w:t>/Подразделение</w:t>
            </w:r>
          </w:p>
        </w:tc>
      </w:tr>
    </w:tbl>
    <w:p w:rsidR="00F92934" w:rsidRDefault="00F92934" w:rsidP="00F92934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5310B0" w:rsidRDefault="00F92934" w:rsidP="00F92934">
      <w:pPr>
        <w:pStyle w:val="a6"/>
        <w:numPr>
          <w:ilvl w:val="0"/>
          <w:numId w:val="1"/>
        </w:numPr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Результат выполнения</w:t>
      </w:r>
      <w:r w:rsidR="002E53E8"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:</w:t>
      </w:r>
    </w:p>
    <w:p w:rsidR="002E53E8" w:rsidRDefault="002E53E8" w:rsidP="002E53E8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Созданный или измененный узел объекта эксплуатации.</w:t>
      </w:r>
    </w:p>
    <w:p w:rsidR="00F92934" w:rsidRDefault="00F92934" w:rsidP="00F92934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4582690" cy="3315694"/>
            <wp:effectExtent l="19050" t="0" r="83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051" cy="331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E8" w:rsidRDefault="002E53E8" w:rsidP="00F92934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2E53E8" w:rsidRDefault="002E53E8" w:rsidP="00F92934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  <w:t>Заполненное поле «Ответственное подразделение» у объекта эксплуатации</w:t>
      </w:r>
    </w:p>
    <w:p w:rsidR="002E53E8" w:rsidRDefault="002E53E8" w:rsidP="00F92934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</w:p>
    <w:p w:rsidR="002E53E8" w:rsidRDefault="002E53E8" w:rsidP="00F92934">
      <w:pPr>
        <w:pStyle w:val="a6"/>
        <w:shd w:val="clear" w:color="auto" w:fill="FFFFFF"/>
        <w:spacing w:before="125" w:after="125" w:line="240" w:lineRule="auto"/>
        <w:outlineLvl w:val="1"/>
        <w:rPr>
          <w:rFonts w:ascii="Verdana" w:eastAsia="Times New Roman" w:hAnsi="Verdana" w:cs="Times New Roman"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4624512" cy="2342138"/>
            <wp:effectExtent l="19050" t="0" r="463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153" cy="234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3E8" w:rsidSect="00F92934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96E14"/>
    <w:multiLevelType w:val="hybridMultilevel"/>
    <w:tmpl w:val="124E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A584F"/>
    <w:multiLevelType w:val="hybridMultilevel"/>
    <w:tmpl w:val="3106FE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9C6"/>
    <w:rsid w:val="000C1D64"/>
    <w:rsid w:val="001C1A01"/>
    <w:rsid w:val="00242E87"/>
    <w:rsid w:val="002E53E8"/>
    <w:rsid w:val="00326F63"/>
    <w:rsid w:val="00345077"/>
    <w:rsid w:val="003B2137"/>
    <w:rsid w:val="005310B0"/>
    <w:rsid w:val="00556E5B"/>
    <w:rsid w:val="00561D9E"/>
    <w:rsid w:val="005D3820"/>
    <w:rsid w:val="00756A9D"/>
    <w:rsid w:val="00760D0F"/>
    <w:rsid w:val="007B772A"/>
    <w:rsid w:val="00864158"/>
    <w:rsid w:val="008F490D"/>
    <w:rsid w:val="00924BCE"/>
    <w:rsid w:val="009519C6"/>
    <w:rsid w:val="00AE1643"/>
    <w:rsid w:val="00B43AE1"/>
    <w:rsid w:val="00B45305"/>
    <w:rsid w:val="00BC18C6"/>
    <w:rsid w:val="00BE195C"/>
    <w:rsid w:val="00BE1D3A"/>
    <w:rsid w:val="00BE67E9"/>
    <w:rsid w:val="00C25CAC"/>
    <w:rsid w:val="00C96C00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01"/>
  </w:style>
  <w:style w:type="paragraph" w:styleId="2">
    <w:name w:val="heading 2"/>
    <w:basedOn w:val="a"/>
    <w:link w:val="20"/>
    <w:uiPriority w:val="9"/>
    <w:qFormat/>
    <w:rsid w:val="00951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9C6"/>
    <w:rPr>
      <w:b/>
      <w:bCs/>
    </w:rPr>
  </w:style>
  <w:style w:type="character" w:styleId="a5">
    <w:name w:val="Emphasis"/>
    <w:basedOn w:val="a0"/>
    <w:uiPriority w:val="20"/>
    <w:qFormat/>
    <w:rsid w:val="009519C6"/>
    <w:rPr>
      <w:i/>
      <w:iCs/>
    </w:rPr>
  </w:style>
  <w:style w:type="paragraph" w:styleId="a6">
    <w:name w:val="List Paragraph"/>
    <w:basedOn w:val="a"/>
    <w:uiPriority w:val="34"/>
    <w:qFormat/>
    <w:rsid w:val="00760D0F"/>
    <w:pPr>
      <w:ind w:left="720"/>
      <w:contextualSpacing/>
    </w:pPr>
  </w:style>
  <w:style w:type="table" w:styleId="a7">
    <w:name w:val="Table Grid"/>
    <w:basedOn w:val="a1"/>
    <w:uiPriority w:val="59"/>
    <w:rsid w:val="0053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Sudakova.MV</dc:creator>
  <cp:lastModifiedBy>Alira</cp:lastModifiedBy>
  <cp:revision>16</cp:revision>
  <dcterms:created xsi:type="dcterms:W3CDTF">2020-11-06T04:02:00Z</dcterms:created>
  <dcterms:modified xsi:type="dcterms:W3CDTF">2020-11-06T09:54:00Z</dcterms:modified>
</cp:coreProperties>
</file>