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Narrow" w:hAnsi="Arial Narrow" w:cs="Arial Narrow" w:eastAsia="Arial Narrow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Narrow" w:hAnsi="Arial Narrow" w:cs="Arial Narrow" w:eastAsia="Arial Narrow"/>
          <w:color w:val="auto"/>
          <w:spacing w:val="0"/>
          <w:position w:val="0"/>
          <w:sz w:val="36"/>
          <w:shd w:fill="auto" w:val="clear"/>
        </w:rPr>
      </w:pPr>
    </w:p>
    <w:p>
      <w:pPr>
        <w:numPr>
          <w:ilvl w:val="0"/>
          <w:numId w:val="2"/>
        </w:numPr>
        <w:tabs>
          <w:tab w:val="left" w:pos="432" w:leader="none"/>
        </w:tabs>
        <w:spacing w:before="0" w:after="0" w:line="240"/>
        <w:ind w:right="0" w:left="432" w:hanging="432"/>
        <w:jc w:val="center"/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auto" w:val="clear"/>
        </w:rPr>
        <w:t xml:space="preserve">Техническое задание </w:t>
      </w:r>
    </w:p>
    <w:p>
      <w:pPr>
        <w:numPr>
          <w:ilvl w:val="0"/>
          <w:numId w:val="2"/>
        </w:numPr>
        <w:tabs>
          <w:tab w:val="left" w:pos="432" w:leader="none"/>
        </w:tabs>
        <w:spacing w:before="0" w:after="0" w:line="240"/>
        <w:ind w:right="0" w:left="432" w:hanging="432"/>
        <w:jc w:val="center"/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8"/>
          <w:shd w:fill="auto" w:val="clear"/>
        </w:rPr>
        <w:t xml:space="preserve">на разработку </w:t>
      </w:r>
    </w:p>
    <w:p>
      <w:pPr>
        <w:spacing w:before="0" w:after="120" w:line="240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4"/>
        </w:numPr>
        <w:tabs>
          <w:tab w:val="left" w:pos="432" w:leader="none"/>
        </w:tabs>
        <w:spacing w:before="0" w:after="0" w:line="240"/>
        <w:ind w:right="0" w:left="432" w:hanging="432"/>
        <w:jc w:val="center"/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auto" w:val="clear"/>
        </w:rPr>
        <w:t xml:space="preserve">правилА синхронизации автоматизированных систем</w:t>
      </w:r>
    </w:p>
    <w:p>
      <w:pPr>
        <w:numPr>
          <w:ilvl w:val="0"/>
          <w:numId w:val="4"/>
        </w:numPr>
        <w:tabs>
          <w:tab w:val="left" w:pos="432" w:leader="none"/>
        </w:tabs>
        <w:spacing w:before="0" w:after="0" w:line="240"/>
        <w:ind w:right="0" w:left="432" w:hanging="432"/>
        <w:jc w:val="center"/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auto" w:val="clear"/>
        </w:rPr>
        <w:t xml:space="preserve">С: Бухгалтерия, редакция 3.0</w:t>
      </w:r>
      <w:r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FFFF00" w:val="clear"/>
        </w:rPr>
        <w:t xml:space="preserve">.Х.ХХ</w:t>
      </w:r>
      <w:r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auto" w:val="clear"/>
        </w:rPr>
        <w:t xml:space="preserve"> и</w:t>
      </w:r>
    </w:p>
    <w:p>
      <w:pPr>
        <w:numPr>
          <w:ilvl w:val="0"/>
          <w:numId w:val="4"/>
        </w:numPr>
        <w:tabs>
          <w:tab w:val="left" w:pos="432" w:leader="none"/>
        </w:tabs>
        <w:spacing w:before="0" w:after="0" w:line="240"/>
        <w:ind w:right="0" w:left="432" w:hanging="432"/>
        <w:jc w:val="center"/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auto" w:val="clear"/>
        </w:rPr>
        <w:t xml:space="preserve">С: Бухгалтерия, редакция 3.0.</w:t>
      </w:r>
      <w:r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FFFF00" w:val="clear"/>
        </w:rPr>
        <w:t xml:space="preserve">YYY.Y</w:t>
      </w:r>
      <w:r>
        <w:rPr>
          <w:rFonts w:ascii="Arial Narrow" w:hAnsi="Arial Narrow" w:cs="Arial Narrow" w:eastAsia="Arial Narrow"/>
          <w:b/>
          <w:i/>
          <w:caps w:val="true"/>
          <w:color w:val="auto"/>
          <w:spacing w:val="0"/>
          <w:position w:val="0"/>
          <w:sz w:val="28"/>
          <w:shd w:fill="auto" w:val="clear"/>
        </w:rPr>
        <w:t xml:space="preserve">Y</w:t>
      </w:r>
    </w:p>
    <w:p>
      <w:pPr>
        <w:spacing w:before="0" w:after="240" w:line="240"/>
        <w:ind w:right="0" w:left="0" w:firstLine="0"/>
        <w:jc w:val="center"/>
        <w:rPr>
          <w:rFonts w:ascii="Arial Narrow" w:hAnsi="Arial Narrow" w:cs="Arial Narrow" w:eastAsia="Arial Narrow"/>
          <w:b/>
          <w:color w:val="auto"/>
          <w:spacing w:val="20"/>
          <w:position w:val="0"/>
          <w:sz w:val="36"/>
          <w:shd w:fill="auto" w:val="clear"/>
        </w:rPr>
      </w:pPr>
    </w:p>
    <w:p>
      <w:pPr>
        <w:spacing w:before="0" w:after="240" w:line="240"/>
        <w:ind w:right="0" w:left="0" w:firstLine="0"/>
        <w:jc w:val="center"/>
        <w:rPr>
          <w:rFonts w:ascii="Arial Narrow" w:hAnsi="Arial Narrow" w:cs="Arial Narrow" w:eastAsia="Arial Narrow"/>
          <w:b/>
          <w:color w:val="auto"/>
          <w:spacing w:val="20"/>
          <w:position w:val="0"/>
          <w:sz w:val="36"/>
          <w:shd w:fill="auto" w:val="clear"/>
        </w:rPr>
      </w:pPr>
    </w:p>
    <w:p>
      <w:pPr>
        <w:spacing w:before="0" w:after="240" w:line="240"/>
        <w:ind w:right="0" w:left="0" w:firstLine="0"/>
        <w:jc w:val="center"/>
        <w:rPr>
          <w:rFonts w:ascii="Arial Narrow" w:hAnsi="Arial Narrow" w:cs="Arial Narrow" w:eastAsia="Arial Narrow"/>
          <w:b/>
          <w:color w:val="auto"/>
          <w:spacing w:val="20"/>
          <w:position w:val="0"/>
          <w:sz w:val="36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20"/>
          <w:position w:val="0"/>
          <w:sz w:val="36"/>
          <w:shd w:fill="auto" w:val="clear"/>
        </w:rPr>
        <w:t xml:space="preserve">Самара 2018</w:t>
      </w:r>
    </w:p>
    <w:p>
      <w:pPr>
        <w:keepNext w:val="true"/>
        <w:numPr>
          <w:ilvl w:val="0"/>
          <w:numId w:val="6"/>
        </w:numPr>
        <w:tabs>
          <w:tab w:val="left" w:pos="432" w:leader="none"/>
          <w:tab w:val="left" w:pos="612" w:leader="none"/>
        </w:tabs>
        <w:spacing w:before="720" w:after="120" w:line="240"/>
        <w:ind w:right="0" w:left="612" w:hanging="431"/>
        <w:jc w:val="center"/>
        <w:rPr>
          <w:rFonts w:ascii="Arial Narrow" w:hAnsi="Arial Narrow" w:cs="Arial Narrow" w:eastAsia="Arial Narrow"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aps w:val="true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keepNext w:val="true"/>
        <w:numPr>
          <w:ilvl w:val="0"/>
          <w:numId w:val="6"/>
        </w:numPr>
        <w:tabs>
          <w:tab w:val="left" w:pos="432" w:leader="none"/>
          <w:tab w:val="left" w:pos="612" w:leader="none"/>
        </w:tabs>
        <w:spacing w:before="720" w:after="120" w:line="240"/>
        <w:ind w:right="0" w:left="612" w:hanging="431"/>
        <w:jc w:val="center"/>
        <w:rPr>
          <w:rFonts w:ascii="Arial Narrow" w:hAnsi="Arial Narrow" w:cs="Arial Narrow" w:eastAsia="Arial Narrow"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aps w:val="true"/>
          <w:color w:val="auto"/>
          <w:spacing w:val="0"/>
          <w:position w:val="0"/>
          <w:sz w:val="24"/>
          <w:shd w:fill="auto" w:val="clear"/>
        </w:rPr>
        <w:t xml:space="preserve">Общие сведения</w:t>
      </w:r>
    </w:p>
    <w:p>
      <w:pPr>
        <w:spacing w:before="0" w:after="240" w:line="240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-5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-5"/>
          <w:position w:val="0"/>
          <w:sz w:val="24"/>
          <w:shd w:fill="auto" w:val="clear"/>
        </w:rPr>
        <w:t xml:space="preserve">Настоящий документ представляет собой описание информационной модели синхронизации (обмена данными в режиме off-line) автоматизированных систем (далее АС) 1С: Бухгалтерия предприятия, редакция 3.0 и 1С: Бухгалтерия предприятия, редакция 3.0  (далее по тексту Синхронизация).</w:t>
      </w:r>
    </w:p>
    <w:p>
      <w:pPr>
        <w:spacing w:before="0" w:after="240" w:line="240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-5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-5"/>
          <w:position w:val="0"/>
          <w:sz w:val="24"/>
          <w:shd w:fill="auto" w:val="clear"/>
        </w:rPr>
        <w:t xml:space="preserve">Полное наименование разработки: Правила синхронизации автоматизированных систем 1С: Бухгалтерия, редакция 3.0 и 1С: Бухгалтерия, редакция 3.0</w:t>
      </w:r>
    </w:p>
    <w:p>
      <w:pPr>
        <w:spacing w:before="0" w:after="240" w:line="240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-5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-5"/>
          <w:position w:val="0"/>
          <w:sz w:val="24"/>
          <w:shd w:fill="auto" w:val="clear"/>
        </w:rPr>
        <w:t xml:space="preserve">Краткое наименование Правила синхронизации БП </w:t>
      </w:r>
      <w:r>
        <w:rPr>
          <w:rFonts w:ascii="Arial Narrow" w:hAnsi="Arial Narrow" w:cs="Arial Narrow" w:eastAsia="Arial Narrow"/>
          <w:color w:val="auto"/>
          <w:spacing w:val="-5"/>
          <w:position w:val="0"/>
          <w:sz w:val="24"/>
          <w:shd w:fill="auto" w:val="clear"/>
        </w:rPr>
        <w:t xml:space="preserve">–</w:t>
      </w:r>
      <w:r>
        <w:rPr>
          <w:rFonts w:ascii="Arial Narrow" w:hAnsi="Arial Narrow" w:cs="Arial Narrow" w:eastAsia="Arial Narrow"/>
          <w:color w:val="auto"/>
          <w:spacing w:val="-5"/>
          <w:position w:val="0"/>
          <w:sz w:val="24"/>
          <w:shd w:fill="auto" w:val="clear"/>
        </w:rPr>
        <w:t xml:space="preserve"> </w:t>
      </w:r>
      <w:r>
        <w:rPr>
          <w:rFonts w:ascii="Arial Narrow" w:hAnsi="Arial Narrow" w:cs="Arial Narrow" w:eastAsia="Arial Narrow"/>
          <w:color w:val="auto"/>
          <w:spacing w:val="-5"/>
          <w:position w:val="0"/>
          <w:sz w:val="24"/>
          <w:shd w:fill="auto" w:val="clear"/>
        </w:rPr>
        <w:t xml:space="preserve">БП </w:t>
      </w:r>
    </w:p>
    <w:p>
      <w:pPr>
        <w:spacing w:before="0" w:after="240" w:line="240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-5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-5"/>
          <w:position w:val="0"/>
          <w:sz w:val="24"/>
          <w:shd w:fill="auto" w:val="clear"/>
        </w:rPr>
        <w:t xml:space="preserve">Описание задач дано укрупненно с представлением функциональных схем взаимосвязи предполагаемых к реализации задач. </w:t>
      </w:r>
    </w:p>
    <w:p>
      <w:pPr>
        <w:numPr>
          <w:ilvl w:val="0"/>
          <w:numId w:val="8"/>
        </w:numPr>
        <w:tabs>
          <w:tab w:val="left" w:pos="432" w:leader="none"/>
        </w:tabs>
        <w:spacing w:before="0" w:after="0" w:line="240"/>
        <w:ind w:right="0" w:left="432" w:hanging="432"/>
        <w:jc w:val="center"/>
        <w:rPr>
          <w:rFonts w:ascii="Arial Narrow" w:hAnsi="Arial Narrow" w:cs="Arial Narrow" w:eastAsia="Arial Narrow"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aps w:val="true"/>
          <w:color w:val="auto"/>
          <w:spacing w:val="0"/>
          <w:position w:val="0"/>
          <w:sz w:val="24"/>
          <w:shd w:fill="auto" w:val="clear"/>
        </w:rPr>
        <w:t xml:space="preserve">Назначение разработки</w:t>
      </w:r>
    </w:p>
    <w:p>
      <w:pPr>
        <w:keepNext w:val="true"/>
        <w:keepLines w:val="true"/>
        <w:numPr>
          <w:ilvl w:val="0"/>
          <w:numId w:val="8"/>
        </w:numPr>
        <w:tabs>
          <w:tab w:val="left" w:pos="576" w:leader="none"/>
        </w:tabs>
        <w:suppressAutoHyphens w:val="true"/>
        <w:spacing w:before="360" w:after="160" w:line="240"/>
        <w:ind w:right="0" w:left="576" w:hanging="576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  <w:t xml:space="preserve">Правила синхронизации БП 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  <w:t xml:space="preserve">БП предназначены для автоматизации обмена данными между системами управленческого и  бухгалтерского учета, исключая повторный ручной ввод одной и той же информации .</w:t>
      </w:r>
    </w:p>
    <w:p>
      <w:pPr>
        <w:keepNext w:val="true"/>
        <w:numPr>
          <w:ilvl w:val="0"/>
          <w:numId w:val="8"/>
        </w:numPr>
        <w:tabs>
          <w:tab w:val="left" w:pos="432" w:leader="none"/>
          <w:tab w:val="left" w:pos="612" w:leader="none"/>
        </w:tabs>
        <w:spacing w:before="240" w:after="120" w:line="240"/>
        <w:ind w:right="0" w:left="612" w:hanging="432"/>
        <w:jc w:val="center"/>
        <w:rPr>
          <w:rFonts w:ascii="Arial Narrow" w:hAnsi="Arial Narrow" w:cs="Arial Narrow" w:eastAsia="Arial Narrow"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aps w:val="true"/>
          <w:color w:val="auto"/>
          <w:spacing w:val="0"/>
          <w:position w:val="0"/>
          <w:sz w:val="24"/>
          <w:shd w:fill="auto" w:val="clear"/>
        </w:rPr>
        <w:t xml:space="preserve">Требования к функционалу системы</w:t>
      </w:r>
    </w:p>
    <w:p>
      <w:pPr>
        <w:keepNext w:val="true"/>
        <w:keepLines w:val="true"/>
        <w:numPr>
          <w:ilvl w:val="0"/>
          <w:numId w:val="8"/>
        </w:numPr>
        <w:tabs>
          <w:tab w:val="left" w:pos="576" w:leader="none"/>
        </w:tabs>
        <w:suppressAutoHyphens w:val="true"/>
        <w:spacing w:before="360" w:after="160" w:line="240"/>
        <w:ind w:right="0" w:left="576" w:hanging="576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  <w:t xml:space="preserve">Для организации обмена данными должна использоваться обработка, основанная на стандартной процедуре универсального обмена данными программных продуктов 1С.</w:t>
      </w:r>
    </w:p>
    <w:p>
      <w:pPr>
        <w:keepNext w:val="true"/>
        <w:keepLines w:val="true"/>
        <w:numPr>
          <w:ilvl w:val="0"/>
          <w:numId w:val="8"/>
        </w:numPr>
        <w:tabs>
          <w:tab w:val="left" w:pos="576" w:leader="none"/>
        </w:tabs>
        <w:suppressAutoHyphens w:val="true"/>
        <w:spacing w:before="360" w:after="160" w:line="240"/>
        <w:ind w:right="0" w:left="576" w:hanging="576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  <w:t xml:space="preserve">Операция 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  <w:t xml:space="preserve">Выгрузка данных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  <w:t xml:space="preserve">должна предоставлять пользователю возможность отбора документов по периоду при выгрузке </w:t>
      </w:r>
    </w:p>
    <w:p>
      <w:pPr>
        <w:keepNext w:val="true"/>
        <w:keepLines w:val="true"/>
        <w:numPr>
          <w:ilvl w:val="0"/>
          <w:numId w:val="8"/>
        </w:numPr>
        <w:tabs>
          <w:tab w:val="left" w:pos="576" w:leader="none"/>
        </w:tabs>
        <w:suppressAutoHyphens w:val="true"/>
        <w:spacing w:before="360" w:after="160" w:line="240"/>
        <w:ind w:right="0" w:left="576" w:hanging="576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  <w:t xml:space="preserve">Обмен должен быть настроен согласно списку соответствий данных, указанном в Приложении 1</w:t>
      </w:r>
    </w:p>
    <w:p>
      <w:pPr>
        <w:spacing w:before="0" w:after="120" w:line="240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numPr>
          <w:ilvl w:val="0"/>
          <w:numId w:val="13"/>
        </w:numPr>
        <w:tabs>
          <w:tab w:val="left" w:pos="432" w:leader="none"/>
          <w:tab w:val="left" w:pos="612" w:leader="none"/>
        </w:tabs>
        <w:spacing w:before="240" w:after="120" w:line="240"/>
        <w:ind w:right="0" w:left="612" w:hanging="432"/>
        <w:jc w:val="center"/>
        <w:rPr>
          <w:rFonts w:ascii="Arial Narrow" w:hAnsi="Arial Narrow" w:cs="Arial Narrow" w:eastAsia="Arial Narrow"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aps w:val="true"/>
          <w:color w:val="auto"/>
          <w:spacing w:val="0"/>
          <w:position w:val="0"/>
          <w:sz w:val="24"/>
          <w:shd w:fill="auto" w:val="clear"/>
        </w:rPr>
        <w:t xml:space="preserve">Этап внедрения и тестирования правил обмена</w:t>
      </w:r>
    </w:p>
    <w:p>
      <w:pPr>
        <w:keepNext w:val="true"/>
        <w:keepLines w:val="true"/>
        <w:numPr>
          <w:ilvl w:val="0"/>
          <w:numId w:val="13"/>
        </w:numPr>
        <w:tabs>
          <w:tab w:val="left" w:pos="576" w:leader="none"/>
        </w:tabs>
        <w:suppressAutoHyphens w:val="true"/>
        <w:spacing w:before="360" w:after="160" w:line="240"/>
        <w:ind w:right="0" w:left="576" w:hanging="576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  <w:t xml:space="preserve">Произвести внедрение правил синхронизации на копиях информационных баз и тестирование обмена данными за определенный период</w:t>
      </w:r>
    </w:p>
    <w:p>
      <w:pPr>
        <w:keepNext w:val="true"/>
        <w:keepLines w:val="true"/>
        <w:numPr>
          <w:ilvl w:val="0"/>
          <w:numId w:val="13"/>
        </w:numPr>
        <w:tabs>
          <w:tab w:val="left" w:pos="576" w:leader="none"/>
        </w:tabs>
        <w:suppressAutoHyphens w:val="true"/>
        <w:spacing w:before="360" w:after="160" w:line="240"/>
        <w:ind w:right="0" w:left="576" w:hanging="576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  <w:t xml:space="preserve">Внедрение Правила синхронизации на рабочих информационных базах. </w:t>
      </w:r>
    </w:p>
    <w:p>
      <w:pPr>
        <w:spacing w:before="0" w:after="120" w:line="240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-5"/>
          <w:position w:val="0"/>
          <w:sz w:val="20"/>
          <w:shd w:fill="auto" w:val="clear"/>
        </w:rPr>
      </w:pPr>
    </w:p>
    <w:p>
      <w:pPr>
        <w:spacing w:before="0" w:after="240" w:line="240"/>
        <w:ind w:right="0" w:left="0" w:firstLine="0"/>
        <w:jc w:val="right"/>
        <w:rPr>
          <w:rFonts w:ascii="Arial Narrow" w:hAnsi="Arial Narrow" w:cs="Arial Narrow" w:eastAsia="Arial Narrow"/>
          <w:color w:val="auto"/>
          <w:spacing w:val="-5"/>
          <w:position w:val="0"/>
          <w:sz w:val="20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-5"/>
          <w:position w:val="0"/>
          <w:sz w:val="20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auto"/>
          <w:spacing w:val="-5"/>
          <w:position w:val="0"/>
          <w:sz w:val="20"/>
          <w:shd w:fill="auto" w:val="clear"/>
        </w:rPr>
        <w:t xml:space="preserve">№</w:t>
      </w:r>
      <w:r>
        <w:rPr>
          <w:rFonts w:ascii="Arial Narrow" w:hAnsi="Arial Narrow" w:cs="Arial Narrow" w:eastAsia="Arial Narrow"/>
          <w:color w:val="auto"/>
          <w:spacing w:val="-5"/>
          <w:position w:val="0"/>
          <w:sz w:val="20"/>
          <w:shd w:fill="auto" w:val="clear"/>
        </w:rPr>
        <w:t xml:space="preserve">1</w:t>
      </w:r>
    </w:p>
    <w:p>
      <w:pPr>
        <w:spacing w:before="0" w:after="240" w:line="240"/>
        <w:ind w:right="0" w:left="0" w:firstLine="0"/>
        <w:jc w:val="center"/>
        <w:rPr>
          <w:rFonts w:ascii="Arial Narrow" w:hAnsi="Arial Narrow" w:cs="Arial Narrow" w:eastAsia="Arial Narrow"/>
          <w:b/>
          <w:color w:val="auto"/>
          <w:spacing w:val="-5"/>
          <w:position w:val="0"/>
          <w:sz w:val="3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-5"/>
          <w:position w:val="0"/>
          <w:sz w:val="32"/>
          <w:shd w:fill="auto" w:val="clear"/>
        </w:rPr>
        <w:t xml:space="preserve">СПИСОК СООТВЕТСТВИЙ МЕЖДУ КОНФИГУРАЦИЕЙ-ИСТОЧНИКОМ И КОНФИГУРАЦИЕЙ-ПРИЕМНИКОМ (СИНХРОНИЗАЦИЯ Бухгалтерия </w:t>
      </w:r>
      <w:r>
        <w:rPr>
          <w:rFonts w:ascii="Arial Narrow" w:hAnsi="Arial Narrow" w:cs="Arial Narrow" w:eastAsia="Arial Narrow"/>
          <w:b/>
          <w:color w:val="auto"/>
          <w:spacing w:val="-5"/>
          <w:position w:val="0"/>
          <w:sz w:val="32"/>
          <w:shd w:fill="auto" w:val="clear"/>
        </w:rPr>
        <w:t xml:space="preserve">–</w:t>
      </w:r>
      <w:r>
        <w:rPr>
          <w:rFonts w:ascii="Arial Narrow" w:hAnsi="Arial Narrow" w:cs="Arial Narrow" w:eastAsia="Arial Narrow"/>
          <w:b/>
          <w:color w:val="auto"/>
          <w:spacing w:val="-5"/>
          <w:position w:val="0"/>
          <w:sz w:val="32"/>
          <w:shd w:fill="auto" w:val="clear"/>
        </w:rPr>
        <w:t xml:space="preserve"> </w:t>
      </w:r>
      <w:r>
        <w:rPr>
          <w:rFonts w:ascii="Arial Narrow" w:hAnsi="Arial Narrow" w:cs="Arial Narrow" w:eastAsia="Arial Narrow"/>
          <w:b/>
          <w:color w:val="auto"/>
          <w:spacing w:val="-5"/>
          <w:position w:val="0"/>
          <w:sz w:val="32"/>
          <w:shd w:fill="auto" w:val="clear"/>
        </w:rPr>
        <w:t xml:space="preserve">Бухгалтерия)</w:t>
      </w:r>
    </w:p>
    <w:tbl>
      <w:tblPr/>
      <w:tblGrid>
        <w:gridCol w:w="1838"/>
        <w:gridCol w:w="2267"/>
        <w:gridCol w:w="5549"/>
      </w:tblGrid>
      <w:tr>
        <w:trPr>
          <w:trHeight w:val="1" w:hRule="atLeast"/>
          <w:jc w:val="left"/>
        </w:trPr>
        <w:tc>
          <w:tcPr>
            <w:tcW w:w="18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20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«1</w:t>
            </w:r>
            <w:r>
              <w:rPr>
                <w:rFonts w:ascii="Arial Narrow" w:hAnsi="Arial Narrow" w:cs="Arial Narrow" w:eastAsia="Arial Narrow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С: Бухгалтерия 8</w:t>
            </w:r>
            <w:r>
              <w:rPr>
                <w:rFonts w:ascii="Arial Narrow" w:hAnsi="Arial Narrow" w:cs="Arial Narrow" w:eastAsia="Arial Narrow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2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20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«1</w:t>
            </w:r>
            <w:r>
              <w:rPr>
                <w:rFonts w:ascii="Arial Narrow" w:hAnsi="Arial Narrow" w:cs="Arial Narrow" w:eastAsia="Arial Narrow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С: Бухгалтерия 8</w:t>
            </w:r>
            <w:r>
              <w:rPr>
                <w:rFonts w:ascii="Arial Narrow" w:hAnsi="Arial Narrow" w:cs="Arial Narrow" w:eastAsia="Arial Narrow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55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20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Примечание</w:t>
            </w:r>
          </w:p>
        </w:tc>
      </w:tr>
      <w:tr>
        <w:trPr>
          <w:trHeight w:val="1" w:hRule="atLeast"/>
          <w:jc w:val="left"/>
        </w:trPr>
        <w:tc>
          <w:tcPr>
            <w:tcW w:w="18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Поступление товаров и услуг</w:t>
            </w:r>
          </w:p>
        </w:tc>
        <w:tc>
          <w:tcPr>
            <w:tcW w:w="2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Поступление товаров и услуг</w:t>
            </w:r>
          </w:p>
        </w:tc>
        <w:tc>
          <w:tcPr>
            <w:tcW w:w="55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240"/>
              <w:ind w:right="0" w:left="0" w:firstLine="0"/>
              <w:jc w:val="both"/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Соответствие документов проверяется по реквизитам Номер вх.+ Дата вх. + Контрагент</w:t>
            </w:r>
          </w:p>
          <w:p>
            <w:pPr>
              <w:spacing w:before="0" w:after="120" w:line="240"/>
              <w:ind w:right="0" w:left="0" w:firstLine="0"/>
              <w:jc w:val="both"/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 повторной выгрузке документы не перезаписываются, а создаются только новые (отсутствующие в базе Приемнике)</w:t>
            </w:r>
          </w:p>
          <w:p>
            <w:pPr>
              <w:spacing w:before="0" w:after="120" w:line="240"/>
              <w:ind w:right="0" w:left="0" w:firstLine="0"/>
              <w:jc w:val="both"/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Обмен настраивается только для 2(двух) видов операций 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Товары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и 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Услуги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  <w:p>
            <w:pPr>
              <w:spacing w:before="0" w:after="120" w:line="240"/>
              <w:ind w:right="0" w:left="0" w:firstLine="0"/>
              <w:jc w:val="both"/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Номенклатура выгружается по ассортименту, без укрупнения по группам.</w:t>
            </w:r>
          </w:p>
          <w:p>
            <w:pPr>
              <w:spacing w:before="0" w:after="120" w:line="240"/>
              <w:ind w:right="0" w:left="0" w:firstLine="0"/>
              <w:jc w:val="both"/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Счета учета номенклатуры 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–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переносятся, а заполнятся автоматически в базе приемнике согласно действующим настройкам</w:t>
            </w:r>
          </w:p>
          <w:p>
            <w:pPr>
              <w:spacing w:before="0" w:after="120" w:line="240"/>
              <w:ind w:right="0" w:left="0" w:firstLine="0"/>
              <w:jc w:val="both"/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Статья затрат (при поступлении услуг) не переносятся.</w:t>
            </w:r>
          </w:p>
          <w:p>
            <w:pPr>
              <w:spacing w:before="0" w:after="12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Организация в базе Приемнике заполняется на основании заполненного поля 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Грузополучатель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в базе Источнике.</w:t>
            </w:r>
          </w:p>
        </w:tc>
      </w:tr>
      <w:tr>
        <w:trPr>
          <w:trHeight w:val="1" w:hRule="atLeast"/>
          <w:jc w:val="left"/>
        </w:trPr>
        <w:tc>
          <w:tcPr>
            <w:tcW w:w="18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Счет-фактура полученная</w:t>
            </w:r>
          </w:p>
        </w:tc>
        <w:tc>
          <w:tcPr>
            <w:tcW w:w="2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Счет-фактура полученная</w:t>
            </w:r>
          </w:p>
        </w:tc>
        <w:tc>
          <w:tcPr>
            <w:tcW w:w="55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4"/>
                <w:shd w:fill="auto" w:val="clear"/>
              </w:rPr>
              <w:t xml:space="preserve">Соответствие документов проверяется по реквизитам Номер вх.+ Дата вх. + Контрагент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240" w:line="240"/>
        <w:ind w:right="0" w:left="1080" w:firstLine="0"/>
        <w:jc w:val="both"/>
        <w:rPr>
          <w:rFonts w:ascii="Arial Narrow" w:hAnsi="Arial Narrow" w:cs="Arial Narrow" w:eastAsia="Arial Narrow"/>
          <w:color w:val="auto"/>
          <w:spacing w:val="-5"/>
          <w:position w:val="0"/>
          <w:sz w:val="24"/>
          <w:shd w:fill="auto" w:val="clear"/>
        </w:rPr>
      </w:pPr>
    </w:p>
    <w:p>
      <w:pPr>
        <w:spacing w:before="0" w:after="240" w:line="240"/>
        <w:ind w:right="0" w:left="0" w:firstLine="0"/>
        <w:jc w:val="center"/>
        <w:rPr>
          <w:rFonts w:ascii="Arial Narrow" w:hAnsi="Arial Narrow" w:cs="Arial Narrow" w:eastAsia="Arial Narrow"/>
          <w:b/>
          <w:color w:val="auto"/>
          <w:spacing w:val="-5"/>
          <w:position w:val="0"/>
          <w:sz w:val="3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-5"/>
          <w:position w:val="0"/>
          <w:sz w:val="32"/>
          <w:shd w:fill="auto" w:val="clear"/>
        </w:rPr>
        <w:t xml:space="preserve">ТАБЛИЦА СООТВЕТСТВИЯ СПРАВОЧНИКОВ</w:t>
      </w:r>
    </w:p>
    <w:tbl>
      <w:tblPr/>
      <w:tblGrid>
        <w:gridCol w:w="1835"/>
        <w:gridCol w:w="1985"/>
        <w:gridCol w:w="6378"/>
      </w:tblGrid>
      <w:tr>
        <w:trPr>
          <w:trHeight w:val="477" w:hRule="auto"/>
          <w:jc w:val="left"/>
        </w:trPr>
        <w:tc>
          <w:tcPr>
            <w:tcW w:w="183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31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Справочник</w:t>
            </w:r>
          </w:p>
        </w:tc>
        <w:tc>
          <w:tcPr>
            <w:tcW w:w="19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31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Поля синхронизации</w:t>
            </w:r>
          </w:p>
        </w:tc>
        <w:tc>
          <w:tcPr>
            <w:tcW w:w="637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31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Комментарий</w:t>
            </w:r>
          </w:p>
        </w:tc>
      </w:tr>
      <w:tr>
        <w:trPr>
          <w:trHeight w:val="1" w:hRule="atLeast"/>
          <w:jc w:val="left"/>
        </w:trPr>
        <w:tc>
          <w:tcPr>
            <w:tcW w:w="183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31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Контрагенты</w:t>
            </w:r>
          </w:p>
        </w:tc>
        <w:tc>
          <w:tcPr>
            <w:tcW w:w="19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31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ИНН</w:t>
            </w:r>
          </w:p>
        </w:tc>
        <w:tc>
          <w:tcPr>
            <w:tcW w:w="637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31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left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Если в базе-приемнике будет несколько контрагентов с одинаковым ИНН, то программа возьмет первый по списку</w:t>
            </w:r>
          </w:p>
        </w:tc>
      </w:tr>
      <w:tr>
        <w:trPr>
          <w:trHeight w:val="1" w:hRule="atLeast"/>
          <w:jc w:val="left"/>
        </w:trPr>
        <w:tc>
          <w:tcPr>
            <w:tcW w:w="183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31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Договоры контрагентов</w:t>
            </w:r>
          </w:p>
        </w:tc>
        <w:tc>
          <w:tcPr>
            <w:tcW w:w="19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31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Номер, дата договора, Вид договора</w:t>
            </w:r>
          </w:p>
        </w:tc>
        <w:tc>
          <w:tcPr>
            <w:tcW w:w="637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31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left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Заказчик должен самостоятельно заполнить номера и даты договоров в обеих базах. Если номер или дата останутся пустыми, то программа оставит пустым поле </w:t>
            </w: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Договор</w:t>
            </w: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183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31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Номенклатура</w:t>
            </w:r>
          </w:p>
        </w:tc>
        <w:tc>
          <w:tcPr>
            <w:tcW w:w="19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31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Код</w:t>
            </w:r>
          </w:p>
        </w:tc>
        <w:tc>
          <w:tcPr>
            <w:tcW w:w="637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31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3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Номенклатурные группы</w:t>
            </w:r>
          </w:p>
        </w:tc>
        <w:tc>
          <w:tcPr>
            <w:tcW w:w="19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637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44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3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Классификатор единиц измерения</w:t>
            </w:r>
          </w:p>
        </w:tc>
        <w:tc>
          <w:tcPr>
            <w:tcW w:w="19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Код</w:t>
            </w:r>
          </w:p>
        </w:tc>
        <w:tc>
          <w:tcPr>
            <w:tcW w:w="637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47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3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Склады</w:t>
            </w:r>
          </w:p>
        </w:tc>
        <w:tc>
          <w:tcPr>
            <w:tcW w:w="19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637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50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left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Переносим все на 1(один) фиксированный склад</w:t>
            </w:r>
          </w:p>
        </w:tc>
      </w:tr>
      <w:tr>
        <w:trPr>
          <w:trHeight w:val="1" w:hRule="atLeast"/>
          <w:jc w:val="left"/>
        </w:trPr>
        <w:tc>
          <w:tcPr>
            <w:tcW w:w="183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Валюты</w:t>
            </w:r>
          </w:p>
        </w:tc>
        <w:tc>
          <w:tcPr>
            <w:tcW w:w="19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Код</w:t>
            </w:r>
          </w:p>
        </w:tc>
        <w:tc>
          <w:tcPr>
            <w:tcW w:w="637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53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3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Организации</w:t>
            </w:r>
          </w:p>
        </w:tc>
        <w:tc>
          <w:tcPr>
            <w:tcW w:w="19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ИНН</w:t>
            </w:r>
          </w:p>
        </w:tc>
        <w:tc>
          <w:tcPr>
            <w:tcW w:w="637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56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3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Номера ГТД</w:t>
            </w:r>
          </w:p>
        </w:tc>
        <w:tc>
          <w:tcPr>
            <w:tcW w:w="19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Код</w:t>
            </w:r>
          </w:p>
        </w:tc>
        <w:tc>
          <w:tcPr>
            <w:tcW w:w="637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59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3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Страны мира</w:t>
            </w:r>
          </w:p>
        </w:tc>
        <w:tc>
          <w:tcPr>
            <w:tcW w:w="19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auto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8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000000"/>
                <w:spacing w:val="0"/>
                <w:position w:val="0"/>
                <w:sz w:val="24"/>
                <w:shd w:fill="auto" w:val="clear"/>
              </w:rPr>
              <w:t xml:space="preserve">Код</w:t>
            </w:r>
          </w:p>
        </w:tc>
        <w:tc>
          <w:tcPr>
            <w:tcW w:w="637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keepNext w:val="true"/>
              <w:keepLines w:val="true"/>
              <w:numPr>
                <w:ilvl w:val="0"/>
                <w:numId w:val="62"/>
              </w:numPr>
              <w:tabs>
                <w:tab w:val="left" w:pos="720" w:leader="none"/>
              </w:tabs>
              <w:suppressAutoHyphens w:val="true"/>
              <w:spacing w:before="0" w:after="0" w:line="240"/>
              <w:ind w:right="0" w:left="720" w:hanging="72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40" w:line="240"/>
        <w:ind w:right="0" w:left="1080" w:firstLine="0"/>
        <w:jc w:val="both"/>
        <w:rPr>
          <w:rFonts w:ascii="Arial Narrow" w:hAnsi="Arial Narrow" w:cs="Arial Narrow" w:eastAsia="Arial Narrow"/>
          <w:color w:val="auto"/>
          <w:spacing w:val="-5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num w:numId="2">
    <w:abstractNumId w:val="96"/>
  </w:num>
  <w:num w:numId="4">
    <w:abstractNumId w:val="90"/>
  </w:num>
  <w:num w:numId="6">
    <w:abstractNumId w:val="84"/>
  </w:num>
  <w:num w:numId="8">
    <w:abstractNumId w:val="78"/>
  </w:num>
  <w:num w:numId="13">
    <w:abstractNumId w:val="72"/>
  </w:num>
  <w:num w:numId="20">
    <w:abstractNumId w:val="66"/>
  </w:num>
  <w:num w:numId="31">
    <w:abstractNumId w:val="60"/>
  </w:num>
  <w:num w:numId="34">
    <w:abstractNumId w:val="54"/>
  </w:num>
  <w:num w:numId="37">
    <w:abstractNumId w:val="48"/>
  </w:num>
  <w:num w:numId="40">
    <w:abstractNumId w:val="42"/>
  </w:num>
  <w:num w:numId="44">
    <w:abstractNumId w:val="36"/>
  </w:num>
  <w:num w:numId="47">
    <w:abstractNumId w:val="30"/>
  </w:num>
  <w:num w:numId="50">
    <w:abstractNumId w:val="24"/>
  </w:num>
  <w:num w:numId="53">
    <w:abstractNumId w:val="18"/>
  </w:num>
  <w:num w:numId="56">
    <w:abstractNumId w:val="12"/>
  </w:num>
  <w:num w:numId="59">
    <w:abstractNumId w:val="6"/>
  </w:num>
  <w:num w:numId="6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