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BC" w:rsidRDefault="00BC2EBC" w:rsidP="00BC2EBC">
      <w:pPr>
        <w:pStyle w:val="4"/>
      </w:pPr>
      <w:r w:rsidRPr="00B86E88">
        <w:t>Описание процесса</w:t>
      </w:r>
    </w:p>
    <w:p w:rsidR="00BC2EBC" w:rsidRDefault="00BC2EBC" w:rsidP="00BC2EBC">
      <w:pPr>
        <w:spacing w:after="0"/>
        <w:jc w:val="both"/>
        <w:rPr>
          <w:rFonts w:cs="Tahoma"/>
          <w:color w:val="auto"/>
          <w:sz w:val="22"/>
        </w:rPr>
      </w:pPr>
      <w:bookmarkStart w:id="0" w:name="_GoBack"/>
      <w:bookmarkEnd w:id="0"/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>При выгрузке реализуются следующие отличия от типового механизма выгрузки:</w:t>
      </w: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>Для всех документов:</w:t>
      </w: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>При выгрузке происходит свертка табличной части документов движения номенклатуры в одну строку с указанием магазина. В рамках 1С: Бухгалтерии на 41 счете учет в разрезе номенклатуры</w:t>
      </w:r>
      <w:r>
        <w:rPr>
          <w:rFonts w:cs="Tahoma"/>
          <w:i/>
          <w:color w:val="auto"/>
          <w:sz w:val="22"/>
        </w:rPr>
        <w:t xml:space="preserve"> не ведется, в первом субконто </w:t>
      </w:r>
      <w:r w:rsidRPr="0012472A">
        <w:rPr>
          <w:rFonts w:cs="Tahoma"/>
          <w:i/>
          <w:color w:val="auto"/>
          <w:sz w:val="22"/>
        </w:rPr>
        <w:t>указывается</w:t>
      </w:r>
      <w:r>
        <w:rPr>
          <w:rFonts w:cs="Tahoma"/>
          <w:i/>
          <w:color w:val="auto"/>
          <w:sz w:val="22"/>
        </w:rPr>
        <w:t xml:space="preserve"> товарная группа.</w:t>
      </w: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>Для всех документов реализации:</w:t>
      </w: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>Устанавливается соответствие – 1 номенклатурная групп</w:t>
      </w:r>
      <w:proofErr w:type="gramStart"/>
      <w:r w:rsidRPr="0012472A">
        <w:rPr>
          <w:rFonts w:cs="Tahoma"/>
          <w:i/>
          <w:color w:val="auto"/>
          <w:sz w:val="22"/>
        </w:rPr>
        <w:t>а</w:t>
      </w:r>
      <w:r>
        <w:rPr>
          <w:rFonts w:cs="Tahoma"/>
          <w:i/>
          <w:color w:val="auto"/>
          <w:sz w:val="22"/>
        </w:rPr>
        <w:t>(</w:t>
      </w:r>
      <w:proofErr w:type="gramEnd"/>
      <w:r>
        <w:rPr>
          <w:rFonts w:cs="Tahoma"/>
          <w:i/>
          <w:color w:val="auto"/>
          <w:sz w:val="22"/>
        </w:rPr>
        <w:t>НГ)</w:t>
      </w:r>
      <w:r w:rsidRPr="0012472A">
        <w:rPr>
          <w:rFonts w:cs="Tahoma"/>
          <w:i/>
          <w:color w:val="auto"/>
          <w:sz w:val="22"/>
        </w:rPr>
        <w:t xml:space="preserve"> – 1 магазин.</w:t>
      </w: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 xml:space="preserve">Формируется проводка: </w:t>
      </w:r>
      <w:proofErr w:type="spellStart"/>
      <w:r w:rsidRPr="0012472A">
        <w:rPr>
          <w:rFonts w:cs="Tahoma"/>
          <w:i/>
          <w:color w:val="auto"/>
          <w:sz w:val="22"/>
        </w:rPr>
        <w:t>Дт</w:t>
      </w:r>
      <w:proofErr w:type="spellEnd"/>
      <w:r w:rsidRPr="0012472A">
        <w:rPr>
          <w:rFonts w:cs="Tahoma"/>
          <w:i/>
          <w:color w:val="auto"/>
          <w:sz w:val="22"/>
        </w:rPr>
        <w:t xml:space="preserve"> 90 НГ </w:t>
      </w:r>
      <w:proofErr w:type="spellStart"/>
      <w:r w:rsidRPr="0012472A">
        <w:rPr>
          <w:rFonts w:cs="Tahoma"/>
          <w:i/>
          <w:color w:val="auto"/>
          <w:sz w:val="22"/>
        </w:rPr>
        <w:t>Кт</w:t>
      </w:r>
      <w:proofErr w:type="spellEnd"/>
      <w:r w:rsidRPr="0012472A">
        <w:rPr>
          <w:rFonts w:cs="Tahoma"/>
          <w:i/>
          <w:color w:val="auto"/>
          <w:sz w:val="22"/>
        </w:rPr>
        <w:t xml:space="preserve"> 41 </w:t>
      </w:r>
      <w:r>
        <w:rPr>
          <w:rFonts w:cs="Tahoma"/>
          <w:i/>
          <w:color w:val="auto"/>
          <w:sz w:val="22"/>
        </w:rPr>
        <w:t>Товарная группа</w:t>
      </w:r>
      <w:r w:rsidRPr="0012472A">
        <w:rPr>
          <w:rFonts w:cs="Tahoma"/>
          <w:i/>
          <w:color w:val="auto"/>
          <w:sz w:val="22"/>
        </w:rPr>
        <w:t>/</w:t>
      </w:r>
      <w:r>
        <w:rPr>
          <w:rFonts w:cs="Tahoma"/>
          <w:i/>
          <w:color w:val="auto"/>
          <w:sz w:val="22"/>
        </w:rPr>
        <w:t>Склад.</w:t>
      </w: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 xml:space="preserve">В 1С: Бухгалтерии документом «Реализация товаров и услуг» может быть отражено </w:t>
      </w:r>
      <w:r>
        <w:rPr>
          <w:rFonts w:cs="Tahoma"/>
          <w:i/>
          <w:color w:val="auto"/>
          <w:sz w:val="22"/>
        </w:rPr>
        <w:t>3</w:t>
      </w:r>
      <w:r w:rsidRPr="0012472A">
        <w:rPr>
          <w:rFonts w:cs="Tahoma"/>
          <w:i/>
          <w:color w:val="auto"/>
          <w:sz w:val="22"/>
        </w:rPr>
        <w:t xml:space="preserve"> вида операции:</w:t>
      </w:r>
    </w:p>
    <w:p w:rsidR="00BC2EBC" w:rsidRPr="0012472A" w:rsidRDefault="00BC2EBC" w:rsidP="00BC2EBC">
      <w:pPr>
        <w:pStyle w:val="a5"/>
        <w:numPr>
          <w:ilvl w:val="0"/>
          <w:numId w:val="1"/>
        </w:num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>Реализация оптовому покупателю</w:t>
      </w:r>
    </w:p>
    <w:p w:rsidR="00BC2EBC" w:rsidRPr="0012472A" w:rsidRDefault="00BC2EBC" w:rsidP="00BC2EBC">
      <w:pPr>
        <w:pStyle w:val="a5"/>
        <w:numPr>
          <w:ilvl w:val="0"/>
          <w:numId w:val="1"/>
        </w:num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>Возврат товара поставщику</w:t>
      </w:r>
    </w:p>
    <w:p w:rsidR="00BC2EBC" w:rsidRPr="0012472A" w:rsidRDefault="00BC2EBC" w:rsidP="00BC2EBC">
      <w:pPr>
        <w:pStyle w:val="a5"/>
        <w:numPr>
          <w:ilvl w:val="0"/>
          <w:numId w:val="1"/>
        </w:num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>Реализация магазину холдинга</w:t>
      </w: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>Для реализации собственной торговой точке:</w:t>
      </w: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  <w:proofErr w:type="gramStart"/>
      <w:r w:rsidRPr="0012472A">
        <w:rPr>
          <w:rFonts w:cs="Tahoma"/>
          <w:i/>
          <w:color w:val="auto"/>
          <w:sz w:val="22"/>
        </w:rPr>
        <w:t>Формируется 3 документа – «Реализация товаров и услуг» (организация – Крепость, контрагент – выбранный магазин</w:t>
      </w:r>
      <w:r>
        <w:rPr>
          <w:rFonts w:cs="Tahoma"/>
          <w:i/>
          <w:color w:val="auto"/>
          <w:sz w:val="22"/>
        </w:rPr>
        <w:t>/адрес доставки</w:t>
      </w:r>
      <w:r w:rsidRPr="0012472A">
        <w:rPr>
          <w:rFonts w:cs="Tahoma"/>
          <w:i/>
          <w:color w:val="auto"/>
          <w:sz w:val="22"/>
        </w:rPr>
        <w:t>), «Поступление товаров и услуг» (организация – выбранный магазин, контрагент – Крепость, оптовый склад), «Перемещение товаров» с оптового склада на розничный.</w:t>
      </w:r>
      <w:proofErr w:type="gramEnd"/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>Для всех документов поступления:</w:t>
      </w: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 xml:space="preserve">Для учета услуг на 44 счете добавлено </w:t>
      </w:r>
      <w:proofErr w:type="gramStart"/>
      <w:r w:rsidRPr="0012472A">
        <w:rPr>
          <w:rFonts w:cs="Tahoma"/>
          <w:i/>
          <w:color w:val="auto"/>
          <w:sz w:val="22"/>
        </w:rPr>
        <w:t>дополнительное</w:t>
      </w:r>
      <w:proofErr w:type="gramEnd"/>
      <w:r w:rsidRPr="0012472A">
        <w:rPr>
          <w:rFonts w:cs="Tahoma"/>
          <w:i/>
          <w:color w:val="auto"/>
          <w:sz w:val="22"/>
        </w:rPr>
        <w:t xml:space="preserve"> субконто «Номенклатурная групп»</w:t>
      </w: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 xml:space="preserve">В 1С: Бухгалтерии документом «Поступление товаров и услуг» может быть отражено </w:t>
      </w:r>
      <w:r>
        <w:rPr>
          <w:rFonts w:cs="Tahoma"/>
          <w:i/>
          <w:color w:val="auto"/>
          <w:sz w:val="22"/>
        </w:rPr>
        <w:t>3</w:t>
      </w:r>
      <w:r w:rsidRPr="0012472A">
        <w:rPr>
          <w:rFonts w:cs="Tahoma"/>
          <w:i/>
          <w:color w:val="auto"/>
          <w:sz w:val="22"/>
        </w:rPr>
        <w:t xml:space="preserve"> вида операции:</w:t>
      </w:r>
    </w:p>
    <w:p w:rsidR="00BC2EBC" w:rsidRPr="0012472A" w:rsidRDefault="00BC2EBC" w:rsidP="00BC2EBC">
      <w:pPr>
        <w:pStyle w:val="a5"/>
        <w:numPr>
          <w:ilvl w:val="0"/>
          <w:numId w:val="2"/>
        </w:num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>Поступление от поставщика</w:t>
      </w:r>
    </w:p>
    <w:p w:rsidR="00BC2EBC" w:rsidRPr="0012472A" w:rsidRDefault="00BC2EBC" w:rsidP="00BC2EBC">
      <w:pPr>
        <w:pStyle w:val="a5"/>
        <w:numPr>
          <w:ilvl w:val="0"/>
          <w:numId w:val="2"/>
        </w:num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>Возврат товара от покупателя</w:t>
      </w:r>
    </w:p>
    <w:p w:rsidR="00BC2EBC" w:rsidRPr="0012472A" w:rsidRDefault="00BC2EBC" w:rsidP="00BC2EBC">
      <w:pPr>
        <w:pStyle w:val="a5"/>
        <w:numPr>
          <w:ilvl w:val="0"/>
          <w:numId w:val="2"/>
        </w:num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>Возврат от магазина холдинга</w:t>
      </w:r>
    </w:p>
    <w:p w:rsidR="00BC2EBC" w:rsidRPr="0012472A" w:rsidRDefault="00BC2EBC" w:rsidP="00BC2EBC">
      <w:pPr>
        <w:pStyle w:val="a3"/>
        <w:rPr>
          <w:i/>
          <w:sz w:val="22"/>
        </w:rPr>
      </w:pPr>
    </w:p>
    <w:p w:rsidR="00BC2EBC" w:rsidRPr="0012472A" w:rsidRDefault="00BC2EBC" w:rsidP="00BC2EBC">
      <w:pPr>
        <w:pStyle w:val="a3"/>
        <w:rPr>
          <w:i/>
          <w:sz w:val="22"/>
        </w:rPr>
      </w:pPr>
      <w:r>
        <w:rPr>
          <w:i/>
          <w:sz w:val="22"/>
        </w:rPr>
        <w:t>Поступление товара в магазин холдинга от внешнего поставщика отражается на счете 41.02, перемещение в розницу в рамках магазин</w:t>
      </w:r>
      <w:proofErr w:type="gramStart"/>
      <w:r>
        <w:rPr>
          <w:i/>
          <w:sz w:val="22"/>
        </w:rPr>
        <w:t>а–</w:t>
      </w:r>
      <w:proofErr w:type="gramEnd"/>
      <w:r>
        <w:rPr>
          <w:i/>
          <w:sz w:val="22"/>
        </w:rPr>
        <w:t xml:space="preserve"> на счет 41.12. Одновременно с этим формируется торговая наценка</w:t>
      </w: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>Для документов списания:</w:t>
      </w: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lastRenderedPageBreak/>
        <w:t>При списании не восстанавливается НДС.</w:t>
      </w:r>
      <w:r>
        <w:rPr>
          <w:rFonts w:cs="Tahoma"/>
          <w:i/>
          <w:color w:val="auto"/>
          <w:sz w:val="22"/>
        </w:rPr>
        <w:t xml:space="preserve"> Списание формируется без разбивки по номенклатурным позициям на одну единицу товара, на указанную сумму.</w:t>
      </w: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>Для кассы:</w:t>
      </w:r>
    </w:p>
    <w:p w:rsidR="00BC2EBC" w:rsidRPr="0012472A" w:rsidRDefault="00BC2EBC" w:rsidP="00BC2EBC">
      <w:pPr>
        <w:spacing w:after="0"/>
        <w:jc w:val="both"/>
        <w:rPr>
          <w:rFonts w:cs="Tahoma"/>
          <w:i/>
          <w:color w:val="auto"/>
          <w:sz w:val="22"/>
        </w:rPr>
      </w:pPr>
      <w:r w:rsidRPr="0012472A">
        <w:rPr>
          <w:rFonts w:cs="Tahoma"/>
          <w:i/>
          <w:color w:val="auto"/>
          <w:sz w:val="22"/>
        </w:rPr>
        <w:t xml:space="preserve">Тип ПКО и РКО </w:t>
      </w:r>
      <w:r>
        <w:rPr>
          <w:rFonts w:cs="Tahoma"/>
          <w:i/>
          <w:color w:val="auto"/>
          <w:sz w:val="22"/>
        </w:rPr>
        <w:t xml:space="preserve">и статья ДДС </w:t>
      </w:r>
      <w:r w:rsidRPr="0012472A">
        <w:rPr>
          <w:rFonts w:cs="Tahoma"/>
          <w:i/>
          <w:color w:val="auto"/>
          <w:sz w:val="22"/>
        </w:rPr>
        <w:t>определяет выбор счета учета.</w:t>
      </w:r>
    </w:p>
    <w:p w:rsidR="00BC2EBC" w:rsidRDefault="00BC2EBC" w:rsidP="00BC2EBC">
      <w:pPr>
        <w:pStyle w:val="a3"/>
        <w:rPr>
          <w:i/>
          <w:sz w:val="22"/>
        </w:rPr>
      </w:pPr>
      <w:r w:rsidRPr="0012472A">
        <w:rPr>
          <w:i/>
          <w:sz w:val="22"/>
        </w:rPr>
        <w:t>Поступления из розничных магазинов вносятся вручную при приходе выручки.</w:t>
      </w:r>
    </w:p>
    <w:p w:rsidR="00BC2EBC" w:rsidRDefault="00BC2EBC" w:rsidP="00BC2EBC">
      <w:pPr>
        <w:pStyle w:val="a3"/>
        <w:rPr>
          <w:i/>
          <w:sz w:val="22"/>
        </w:rPr>
      </w:pPr>
    </w:p>
    <w:p w:rsidR="00BC2EBC" w:rsidRDefault="00BC2EBC" w:rsidP="00BC2EBC">
      <w:pPr>
        <w:pStyle w:val="a3"/>
        <w:rPr>
          <w:i/>
          <w:sz w:val="22"/>
        </w:rPr>
      </w:pPr>
      <w:r>
        <w:rPr>
          <w:i/>
          <w:sz w:val="22"/>
        </w:rPr>
        <w:t>Для справочника «Контрагенты»:</w:t>
      </w:r>
    </w:p>
    <w:p w:rsidR="00BC2EBC" w:rsidRDefault="00BC2EBC" w:rsidP="00BC2EBC">
      <w:pPr>
        <w:pStyle w:val="a3"/>
        <w:rPr>
          <w:i/>
          <w:sz w:val="22"/>
        </w:rPr>
      </w:pPr>
    </w:p>
    <w:p w:rsidR="00BC2EBC" w:rsidRDefault="00BC2EBC" w:rsidP="00BC2EBC">
      <w:pPr>
        <w:pStyle w:val="a3"/>
        <w:rPr>
          <w:i/>
          <w:sz w:val="22"/>
        </w:rPr>
      </w:pPr>
      <w:proofErr w:type="gramStart"/>
      <w:r>
        <w:rPr>
          <w:i/>
          <w:sz w:val="22"/>
        </w:rPr>
        <w:t>При загрузке контрагентов с одинаковым ИНН  в зависимости от настройки в справочнике</w:t>
      </w:r>
      <w:proofErr w:type="gramEnd"/>
      <w:r>
        <w:rPr>
          <w:i/>
          <w:sz w:val="22"/>
        </w:rPr>
        <w:t xml:space="preserve"> «Контрагенты» в УТАП (доп. реквизит «Выгружать свернуто») они должны объединяться в 1С: Бухгалтерии в единую запись справочника «Контрагенты».</w:t>
      </w:r>
    </w:p>
    <w:p w:rsidR="00DB4424" w:rsidRDefault="00DB4424"/>
    <w:sectPr w:rsidR="00DB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D35E3"/>
    <w:multiLevelType w:val="hybridMultilevel"/>
    <w:tmpl w:val="D25E0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C064F"/>
    <w:multiLevelType w:val="hybridMultilevel"/>
    <w:tmpl w:val="D25E0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BC"/>
    <w:rsid w:val="00BC2EBC"/>
    <w:rsid w:val="00DB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BC"/>
    <w:rPr>
      <w:rFonts w:ascii="Tahoma" w:hAnsi="Tahoma"/>
      <w:color w:val="000000" w:themeColor="text1"/>
      <w:sz w:val="18"/>
    </w:rPr>
  </w:style>
  <w:style w:type="paragraph" w:styleId="4">
    <w:name w:val="heading 4"/>
    <w:basedOn w:val="a"/>
    <w:next w:val="a"/>
    <w:link w:val="40"/>
    <w:uiPriority w:val="99"/>
    <w:unhideWhenUsed/>
    <w:qFormat/>
    <w:rsid w:val="00BC2EBC"/>
    <w:pPr>
      <w:keepNext/>
      <w:keepLines/>
      <w:spacing w:before="200" w:after="0"/>
      <w:outlineLvl w:val="3"/>
    </w:pPr>
    <w:rPr>
      <w:rFonts w:eastAsiaTheme="majorEastAsia" w:cs="Tahoma"/>
      <w:b/>
      <w:bCs/>
      <w:iCs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BC2EBC"/>
    <w:rPr>
      <w:rFonts w:ascii="Tahoma" w:eastAsiaTheme="majorEastAsia" w:hAnsi="Tahoma" w:cs="Tahoma"/>
      <w:b/>
      <w:bCs/>
      <w:iCs/>
    </w:rPr>
  </w:style>
  <w:style w:type="paragraph" w:styleId="a3">
    <w:name w:val="No Spacing"/>
    <w:link w:val="a4"/>
    <w:uiPriority w:val="1"/>
    <w:qFormat/>
    <w:rsid w:val="00BC2EBC"/>
    <w:pPr>
      <w:spacing w:after="0" w:line="240" w:lineRule="auto"/>
    </w:pPr>
    <w:rPr>
      <w:rFonts w:ascii="Tahoma" w:hAnsi="Tahoma"/>
      <w:color w:val="000000" w:themeColor="text1"/>
      <w:sz w:val="18"/>
    </w:rPr>
  </w:style>
  <w:style w:type="paragraph" w:styleId="a5">
    <w:name w:val="List Paragraph"/>
    <w:basedOn w:val="a"/>
    <w:link w:val="a6"/>
    <w:qFormat/>
    <w:rsid w:val="00BC2EBC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BC2EBC"/>
    <w:rPr>
      <w:rFonts w:ascii="Tahoma" w:hAnsi="Tahoma"/>
      <w:color w:val="000000" w:themeColor="text1"/>
      <w:sz w:val="18"/>
    </w:rPr>
  </w:style>
  <w:style w:type="character" w:customStyle="1" w:styleId="a4">
    <w:name w:val="Без интервала Знак"/>
    <w:link w:val="a3"/>
    <w:uiPriority w:val="1"/>
    <w:locked/>
    <w:rsid w:val="00BC2EBC"/>
    <w:rPr>
      <w:rFonts w:ascii="Tahoma" w:hAnsi="Tahoma"/>
      <w:color w:val="000000" w:themeColor="text1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BC"/>
    <w:rPr>
      <w:rFonts w:ascii="Tahoma" w:hAnsi="Tahoma"/>
      <w:color w:val="000000" w:themeColor="text1"/>
      <w:sz w:val="18"/>
    </w:rPr>
  </w:style>
  <w:style w:type="paragraph" w:styleId="4">
    <w:name w:val="heading 4"/>
    <w:basedOn w:val="a"/>
    <w:next w:val="a"/>
    <w:link w:val="40"/>
    <w:uiPriority w:val="99"/>
    <w:unhideWhenUsed/>
    <w:qFormat/>
    <w:rsid w:val="00BC2EBC"/>
    <w:pPr>
      <w:keepNext/>
      <w:keepLines/>
      <w:spacing w:before="200" w:after="0"/>
      <w:outlineLvl w:val="3"/>
    </w:pPr>
    <w:rPr>
      <w:rFonts w:eastAsiaTheme="majorEastAsia" w:cs="Tahoma"/>
      <w:b/>
      <w:bCs/>
      <w:iCs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BC2EBC"/>
    <w:rPr>
      <w:rFonts w:ascii="Tahoma" w:eastAsiaTheme="majorEastAsia" w:hAnsi="Tahoma" w:cs="Tahoma"/>
      <w:b/>
      <w:bCs/>
      <w:iCs/>
    </w:rPr>
  </w:style>
  <w:style w:type="paragraph" w:styleId="a3">
    <w:name w:val="No Spacing"/>
    <w:link w:val="a4"/>
    <w:uiPriority w:val="1"/>
    <w:qFormat/>
    <w:rsid w:val="00BC2EBC"/>
    <w:pPr>
      <w:spacing w:after="0" w:line="240" w:lineRule="auto"/>
    </w:pPr>
    <w:rPr>
      <w:rFonts w:ascii="Tahoma" w:hAnsi="Tahoma"/>
      <w:color w:val="000000" w:themeColor="text1"/>
      <w:sz w:val="18"/>
    </w:rPr>
  </w:style>
  <w:style w:type="paragraph" w:styleId="a5">
    <w:name w:val="List Paragraph"/>
    <w:basedOn w:val="a"/>
    <w:link w:val="a6"/>
    <w:qFormat/>
    <w:rsid w:val="00BC2EBC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BC2EBC"/>
    <w:rPr>
      <w:rFonts w:ascii="Tahoma" w:hAnsi="Tahoma"/>
      <w:color w:val="000000" w:themeColor="text1"/>
      <w:sz w:val="18"/>
    </w:rPr>
  </w:style>
  <w:style w:type="character" w:customStyle="1" w:styleId="a4">
    <w:name w:val="Без интервала Знак"/>
    <w:link w:val="a3"/>
    <w:uiPriority w:val="1"/>
    <w:locked/>
    <w:rsid w:val="00BC2EBC"/>
    <w:rPr>
      <w:rFonts w:ascii="Tahoma" w:hAnsi="Tahoma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2016-11-07T10:33:00Z</dcterms:created>
  <dcterms:modified xsi:type="dcterms:W3CDTF">2016-11-07T10:38:00Z</dcterms:modified>
</cp:coreProperties>
</file>