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48"/>
          <w:rtl w:val="0"/>
        </w:rPr>
        <w:t xml:space="preserve">Этап 4 - доработка УТ11 - Загрузка фиксированных цен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Фиксированными ценами в рублях являются: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520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205"/>
        <w:tblGridChange w:id="0">
          <w:tblGrid>
            <w:gridCol w:w="5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Закупочная цена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МРЦ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Цена распродажи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Зачеркнутая цена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Устанавливаются отдельно в карточке товара или массово на выделенные товары в справочнике. Также возможна массовая загрузка фиксированных цен по нашему коду товара или поставщика. Пример массовой загрузки фиксированных цен: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876800" cx="100584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876800" cx="1005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5840" w:h="24480"/>
      <w:pgMar w:left="0" w:right="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4.docx</dc:title>
</cp:coreProperties>
</file>