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54xcs9mu4s1w" w:id="0"/>
      <w:bookmarkEnd w:id="0"/>
      <w:r w:rsidDel="00000000" w:rsidR="00000000" w:rsidRPr="00000000">
        <w:rPr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ncibhnldnfq2" w:id="1"/>
      <w:bookmarkEnd w:id="1"/>
      <w:r w:rsidDel="00000000" w:rsidR="00000000" w:rsidRPr="00000000">
        <w:rPr>
          <w:rtl w:val="0"/>
        </w:rPr>
        <w:t xml:space="preserve">Версии программных продуктов: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Комплексная автоматизация 2.4. (версия 2.4.13.85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Зарплата и управление персоналом 3 КОРП (версия 3.1.16.77)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Реальные конфигурации доработанные, но задание выполнять на типовых.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x5pvr7osx9nl" w:id="2"/>
      <w:bookmarkEnd w:id="2"/>
      <w:r w:rsidDel="00000000" w:rsidR="00000000" w:rsidRPr="00000000">
        <w:rPr>
          <w:rtl w:val="0"/>
        </w:rPr>
        <w:t xml:space="preserve">Видение результата выполнения задания: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Текст поля “Назначение платежа” контролируется специалистами в ЗУП и не требует дополнительного редактирования специалистами в КА.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Специалист работающий в КА может сформировать реестр для загрузки данных о зарплате в клиент-банк не входя в ЗУП.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Типовые правила обмена КА - ЗУП не изменены.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i51q4v8rr2n2" w:id="3"/>
      <w:bookmarkEnd w:id="3"/>
      <w:r w:rsidDel="00000000" w:rsidR="00000000" w:rsidRPr="00000000">
        <w:rPr>
          <w:rtl w:val="0"/>
        </w:rPr>
        <w:t xml:space="preserve">Доработки на стороне ЗУП</w:t>
      </w:r>
    </w:p>
    <w:p w:rsidR="00000000" w:rsidDel="00000000" w:rsidP="00000000" w:rsidRDefault="00000000" w:rsidRPr="00000000" w14:paraId="0000000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Сделать дополнительный реквизит “Назначение платежа” в документе Ведомость банк. Реквизит с неограниченным количеством символов. Подлежит ручному редактированию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212090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Сделать регистр сведений  для автоматического заполнения реквизита “Назначение платежа”. На форме регистра должен быть выбор Зарплатного проекта и текстовое поле шаблоном текста для заполнения реквизита “Назначение платежа”</w:t>
        <w:br w:type="textWrapping"/>
      </w:r>
      <w:r w:rsidDel="00000000" w:rsidR="00000000" w:rsidRPr="00000000">
        <w:rPr/>
        <w:drawing>
          <wp:inline distB="114300" distT="114300" distL="114300" distR="114300">
            <wp:extent cx="5334000" cy="116205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Пример : Для зачисления по реестру №</w:t>
      </w:r>
      <w:r w:rsidDel="00000000" w:rsidR="00000000" w:rsidRPr="00000000">
        <w:rPr>
          <w:b w:val="1"/>
          <w:rtl w:val="0"/>
        </w:rPr>
        <w:t xml:space="preserve">&lt;Номер реестра&gt;</w:t>
      </w:r>
      <w:r w:rsidDel="00000000" w:rsidR="00000000" w:rsidRPr="00000000">
        <w:rPr>
          <w:rtl w:val="0"/>
        </w:rPr>
        <w:t xml:space="preserve"> от </w:t>
      </w:r>
      <w:r w:rsidDel="00000000" w:rsidR="00000000" w:rsidRPr="00000000">
        <w:rPr>
          <w:b w:val="1"/>
          <w:rtl w:val="0"/>
        </w:rPr>
        <w:t xml:space="preserve">&lt;Дата ведомости&gt; </w:t>
      </w:r>
      <w:r w:rsidDel="00000000" w:rsidR="00000000" w:rsidRPr="00000000">
        <w:rPr>
          <w:rtl w:val="0"/>
        </w:rPr>
        <w:t xml:space="preserve">в соответствии с договором </w:t>
      </w:r>
      <w:r w:rsidDel="00000000" w:rsidR="00000000" w:rsidRPr="00000000">
        <w:rPr>
          <w:b w:val="1"/>
          <w:rtl w:val="0"/>
        </w:rPr>
        <w:t xml:space="preserve">&lt;Номер договора зарплатного проекта&gt;</w:t>
      </w:r>
      <w:r w:rsidDel="00000000" w:rsidR="00000000" w:rsidRPr="00000000">
        <w:rPr>
          <w:rtl w:val="0"/>
        </w:rPr>
        <w:t xml:space="preserve"> от </w:t>
      </w:r>
      <w:r w:rsidDel="00000000" w:rsidR="00000000" w:rsidRPr="00000000">
        <w:rPr>
          <w:b w:val="1"/>
          <w:rtl w:val="0"/>
        </w:rPr>
        <w:t xml:space="preserve">&lt;Дата договора зарплатного проекта&gt;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&lt;Основание ведомости &gt;</w:t>
      </w:r>
      <w:r w:rsidDel="00000000" w:rsidR="00000000" w:rsidRPr="00000000">
        <w:rPr>
          <w:rtl w:val="0"/>
        </w:rPr>
        <w:t xml:space="preserve">.Без налога НДС.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Номер реестра, Дата ведомости, Основание ведомости-берем из самого документа “Ведомость в банк”</w:t>
      </w:r>
    </w:p>
    <w:p w:rsidR="00000000" w:rsidDel="00000000" w:rsidP="00000000" w:rsidRDefault="00000000" w:rsidRPr="00000000" w14:paraId="0000000F">
      <w:pPr>
        <w:ind w:left="72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2374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Номер и дату договора зарплатного проекта берем из элемента Зарплатный проект в соответствующем справочнике.ссылка на элемент присутствует в самой ведомости.: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3263900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6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Реквизит “Назначение платежа” заполняется из регистра при создании документа</w:t>
        <w:br w:type="textWrapping"/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jc w:val="both"/>
        <w:rPr/>
      </w:pPr>
      <w:bookmarkStart w:colFirst="0" w:colLast="0" w:name="_yenoa3rqomit" w:id="4"/>
      <w:bookmarkEnd w:id="4"/>
      <w:r w:rsidDel="00000000" w:rsidR="00000000" w:rsidRPr="00000000">
        <w:rPr>
          <w:rtl w:val="0"/>
        </w:rPr>
        <w:t xml:space="preserve">Интеграция ЗУП - КА</w:t>
        <w:br w:type="textWrapping"/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Ведомость в банк синхронизируется из ЗУП 3 в КА 1. В КА 1 на основании ведомости автоматически создается заявка на расходование денежных средств. Реквизит “Назначение платежа” синхронизируется в поле “Комментарий в заявке на расходование денежных средств”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jc w:val="both"/>
        <w:rPr/>
      </w:pPr>
      <w:bookmarkStart w:colFirst="0" w:colLast="0" w:name="_1bwlpkqin6da" w:id="5"/>
      <w:bookmarkEnd w:id="5"/>
      <w:r w:rsidDel="00000000" w:rsidR="00000000" w:rsidRPr="00000000">
        <w:rPr>
          <w:rtl w:val="0"/>
        </w:rPr>
        <w:t xml:space="preserve">Доработки на стороне КА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В обработку “Безналичные платежи” добавить  отбор по организации. Добавить вкладку Реестры на заработную плату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10287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На форме вкладки  существуют отборы:</w:t>
      </w:r>
    </w:p>
    <w:p w:rsidR="00000000" w:rsidDel="00000000" w:rsidP="00000000" w:rsidRDefault="00000000" w:rsidRPr="00000000" w14:paraId="0000001A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период </w:t>
      </w:r>
      <w:r w:rsidDel="00000000" w:rsidR="00000000" w:rsidRPr="00000000">
        <w:rPr>
          <w:rtl w:val="0"/>
        </w:rPr>
        <w:t xml:space="preserve">с,,,,, по ,,,,,</w:t>
        <w:br w:type="textWrapping"/>
      </w:r>
      <w:r w:rsidDel="00000000" w:rsidR="00000000" w:rsidRPr="00000000">
        <w:rPr>
          <w:b w:val="1"/>
          <w:rtl w:val="0"/>
        </w:rPr>
        <w:t xml:space="preserve">вид платежного поручения </w:t>
      </w:r>
      <w:r w:rsidDel="00000000" w:rsidR="00000000" w:rsidRPr="00000000">
        <w:rPr>
          <w:rtl w:val="0"/>
        </w:rPr>
        <w:t xml:space="preserve">(автоматом выбирается “Выплата по ведомости по зарплатному проекту”)</w:t>
      </w:r>
    </w:p>
    <w:p w:rsidR="00000000" w:rsidDel="00000000" w:rsidP="00000000" w:rsidRDefault="00000000" w:rsidRPr="00000000" w14:paraId="0000001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Табличная часть заполняется платежными поручениями, согласно отборам.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Над ТЧ кнопка выгрузить реестр</w:t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Колонки табличной части: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Выгружен(да/нет)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 п/п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Платежное поручение (с возможностью открывать сам документ)</w:t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Назначение платежа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Сумма</w:t>
        <w:br w:type="textWrapping"/>
      </w:r>
    </w:p>
    <w:p w:rsidR="00000000" w:rsidDel="00000000" w:rsidP="00000000" w:rsidRDefault="00000000" w:rsidRPr="00000000" w14:paraId="0000002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 нажатии кнопки “выгрузить реестр” КА 2 обращается к ЗУП 3 собирает реестр по формату, открывается окно, для указания места сохранения, после нажатии кнопки сохранить, реестр сохраняется в указанную папку. в Колонке “Выгружен” ставится значение “ДА”. “Выгружен” не является реквизитом документа, а хранится в дополнительном регистре.</w:t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Особенности реестров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Сбербанк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В реестре по сбербанку должен быть указан номер платежного поручения. Поэтому при нажатии кнопки “Выгрузить реестр” в зуп должен прийти номер платежного поручения и отобразится прям в реестре. формат реестра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180340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0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Райффайзенбанк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Нет особенностей, можно формировать стандартными средствами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243840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ВТБ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У втб свой формат реестров, стандартная форма не подходит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5715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Лицевой счет, сумма выплаты, ФИО, СНИЛС, код выплаты сумма удержаний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